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265" w:rsidRPr="00E86265" w:rsidRDefault="00E86265" w:rsidP="00E86265">
      <w:pPr>
        <w:jc w:val="right"/>
        <w:rPr>
          <w:rFonts w:ascii="Arial" w:hAnsi="Arial" w:cs="Arial"/>
          <w:b/>
        </w:rPr>
      </w:pPr>
    </w:p>
    <w:p w:rsidR="00F76D88" w:rsidRDefault="00F76D88" w:rsidP="00F76D88">
      <w:pPr>
        <w:jc w:val="center"/>
      </w:pPr>
      <w:r>
        <w:rPr>
          <w:noProof/>
        </w:rPr>
        <w:drawing>
          <wp:inline distT="0" distB="0" distL="0" distR="0" wp14:anchorId="29084BB0" wp14:editId="3E4C6F1C">
            <wp:extent cx="1695450" cy="847725"/>
            <wp:effectExtent l="0" t="0" r="0" b="9525"/>
            <wp:docPr id="39" name="Picture 12" descr="cid:image013.jpg@01D5A60B.B6163F20"/>
            <wp:cNvGraphicFramePr/>
            <a:graphic xmlns:a="http://schemas.openxmlformats.org/drawingml/2006/main">
              <a:graphicData uri="http://schemas.openxmlformats.org/drawingml/2006/picture">
                <pic:pic xmlns:pic="http://schemas.openxmlformats.org/drawingml/2006/picture">
                  <pic:nvPicPr>
                    <pic:cNvPr id="6" name="Picture 12" descr="cid:image013.jpg@01D5A60B.B6163F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r>
        <w:tab/>
      </w:r>
      <w:r>
        <w:rPr>
          <w:noProof/>
        </w:rPr>
        <w:drawing>
          <wp:inline distT="0" distB="0" distL="0" distR="0" wp14:anchorId="154F6CA7" wp14:editId="2307F03A">
            <wp:extent cx="3857625" cy="590550"/>
            <wp:effectExtent l="0" t="0" r="9525" b="0"/>
            <wp:docPr id="40" name="Picture 11" descr="clip_image008"/>
            <wp:cNvGraphicFramePr/>
            <a:graphic xmlns:a="http://schemas.openxmlformats.org/drawingml/2006/main">
              <a:graphicData uri="http://schemas.openxmlformats.org/drawingml/2006/picture">
                <pic:pic xmlns:pic="http://schemas.openxmlformats.org/drawingml/2006/picture">
                  <pic:nvPicPr>
                    <pic:cNvPr id="7" name="Picture 11" descr="clip_image008"/>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7625" cy="590550"/>
                    </a:xfrm>
                    <a:prstGeom prst="rect">
                      <a:avLst/>
                    </a:prstGeom>
                    <a:noFill/>
                    <a:ln>
                      <a:noFill/>
                    </a:ln>
                  </pic:spPr>
                </pic:pic>
              </a:graphicData>
            </a:graphic>
          </wp:inline>
        </w:drawing>
      </w:r>
    </w:p>
    <w:p w:rsidR="00EF0806" w:rsidRDefault="00EF0806" w:rsidP="00EF0806"/>
    <w:p w:rsidR="00EF0806" w:rsidRDefault="00EF0806" w:rsidP="00EF0806">
      <w:pPr>
        <w:spacing w:before="17" w:line="220" w:lineRule="exact"/>
      </w:pPr>
    </w:p>
    <w:p w:rsidR="00EF0806" w:rsidRDefault="00EF0806" w:rsidP="00EF0806">
      <w:pPr>
        <w:spacing w:before="32"/>
        <w:ind w:left="2532" w:right="-20"/>
        <w:rPr>
          <w:rFonts w:ascii="Arial" w:eastAsia="Arial" w:hAnsi="Arial" w:cs="Arial"/>
        </w:rPr>
      </w:pPr>
      <w:r>
        <w:rPr>
          <w:rFonts w:ascii="Arial" w:eastAsia="Arial" w:hAnsi="Arial" w:cs="Arial"/>
          <w:b/>
          <w:bCs/>
          <w:spacing w:val="-1"/>
        </w:rPr>
        <w:t>P</w:t>
      </w:r>
      <w:r>
        <w:rPr>
          <w:rFonts w:ascii="Arial" w:eastAsia="Arial" w:hAnsi="Arial" w:cs="Arial"/>
          <w:b/>
          <w:bCs/>
        </w:rPr>
        <w:t>ol</w:t>
      </w:r>
      <w:r>
        <w:rPr>
          <w:rFonts w:ascii="Arial" w:eastAsia="Arial" w:hAnsi="Arial" w:cs="Arial"/>
          <w:b/>
          <w:bCs/>
          <w:spacing w:val="1"/>
        </w:rPr>
        <w:t>i</w:t>
      </w:r>
      <w:r>
        <w:rPr>
          <w:rFonts w:ascii="Arial" w:eastAsia="Arial" w:hAnsi="Arial" w:cs="Arial"/>
          <w:b/>
          <w:bCs/>
        </w:rPr>
        <w:t>c</w:t>
      </w:r>
      <w:r>
        <w:rPr>
          <w:rFonts w:ascii="Arial" w:eastAsia="Arial" w:hAnsi="Arial" w:cs="Arial"/>
          <w:b/>
          <w:bCs/>
          <w:spacing w:val="-6"/>
        </w:rPr>
        <w:t>y</w:t>
      </w:r>
      <w:r>
        <w:rPr>
          <w:rFonts w:ascii="Arial" w:eastAsia="Arial" w:hAnsi="Arial" w:cs="Arial"/>
          <w:b/>
          <w:bCs/>
          <w:spacing w:val="1"/>
        </w:rPr>
        <w:t>/</w:t>
      </w:r>
      <w:r>
        <w:rPr>
          <w:rFonts w:ascii="Arial" w:eastAsia="Arial" w:hAnsi="Arial" w:cs="Arial"/>
          <w:b/>
          <w:bCs/>
          <w:spacing w:val="-1"/>
        </w:rPr>
        <w:t>P</w:t>
      </w:r>
      <w:r>
        <w:rPr>
          <w:rFonts w:ascii="Arial" w:eastAsia="Arial" w:hAnsi="Arial" w:cs="Arial"/>
          <w:b/>
          <w:bCs/>
        </w:rPr>
        <w:t>roc</w:t>
      </w:r>
      <w:r>
        <w:rPr>
          <w:rFonts w:ascii="Arial" w:eastAsia="Arial" w:hAnsi="Arial" w:cs="Arial"/>
          <w:b/>
          <w:bCs/>
          <w:spacing w:val="-1"/>
        </w:rPr>
        <w:t>e</w:t>
      </w:r>
      <w:r>
        <w:rPr>
          <w:rFonts w:ascii="Arial" w:eastAsia="Arial" w:hAnsi="Arial" w:cs="Arial"/>
          <w:b/>
          <w:bCs/>
        </w:rPr>
        <w:t>d</w:t>
      </w:r>
      <w:r>
        <w:rPr>
          <w:rFonts w:ascii="Arial" w:eastAsia="Arial" w:hAnsi="Arial" w:cs="Arial"/>
          <w:b/>
          <w:bCs/>
          <w:spacing w:val="-1"/>
        </w:rPr>
        <w:t>u</w:t>
      </w:r>
      <w:r>
        <w:rPr>
          <w:rFonts w:ascii="Arial" w:eastAsia="Arial" w:hAnsi="Arial" w:cs="Arial"/>
          <w:b/>
          <w:bCs/>
        </w:rPr>
        <w:t>re</w:t>
      </w:r>
      <w:r>
        <w:rPr>
          <w:rFonts w:ascii="Arial" w:eastAsia="Arial" w:hAnsi="Arial" w:cs="Arial"/>
          <w:b/>
          <w:bCs/>
          <w:spacing w:val="1"/>
        </w:rPr>
        <w:t>/G</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spacing w:val="-3"/>
        </w:rPr>
        <w:t>d</w:t>
      </w:r>
      <w:r>
        <w:rPr>
          <w:rFonts w:ascii="Arial" w:eastAsia="Arial" w:hAnsi="Arial" w:cs="Arial"/>
          <w:b/>
          <w:bCs/>
        </w:rPr>
        <w:t>el</w:t>
      </w:r>
      <w:r>
        <w:rPr>
          <w:rFonts w:ascii="Arial" w:eastAsia="Arial" w:hAnsi="Arial" w:cs="Arial"/>
          <w:b/>
          <w:bCs/>
          <w:spacing w:val="2"/>
        </w:rPr>
        <w:t>i</w:t>
      </w:r>
      <w:r>
        <w:rPr>
          <w:rFonts w:ascii="Arial" w:eastAsia="Arial" w:hAnsi="Arial" w:cs="Arial"/>
          <w:b/>
          <w:bCs/>
        </w:rPr>
        <w:t>ne</w:t>
      </w:r>
      <w:r>
        <w:rPr>
          <w:rFonts w:ascii="Arial" w:eastAsia="Arial" w:hAnsi="Arial" w:cs="Arial"/>
          <w:b/>
          <w:bCs/>
          <w:spacing w:val="-2"/>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spacing w:val="-3"/>
        </w:rPr>
        <w:t>e</w:t>
      </w:r>
      <w:r>
        <w:rPr>
          <w:rFonts w:ascii="Arial" w:eastAsia="Arial" w:hAnsi="Arial" w:cs="Arial"/>
          <w:b/>
          <w:bCs/>
        </w:rPr>
        <w:t>w</w:t>
      </w:r>
    </w:p>
    <w:p w:rsidR="00F76D88" w:rsidRDefault="00F76D88" w:rsidP="00F76D88">
      <w:pPr>
        <w:spacing w:before="17" w:line="220" w:lineRule="exact"/>
      </w:pPr>
    </w:p>
    <w:p w:rsidR="00EF0806" w:rsidRDefault="00EF0806" w:rsidP="00EF0806">
      <w:pPr>
        <w:spacing w:before="17" w:line="240" w:lineRule="exact"/>
      </w:pPr>
    </w:p>
    <w:tbl>
      <w:tblPr>
        <w:tblW w:w="0" w:type="auto"/>
        <w:tblInd w:w="92" w:type="dxa"/>
        <w:tblLayout w:type="fixed"/>
        <w:tblCellMar>
          <w:left w:w="0" w:type="dxa"/>
          <w:right w:w="0" w:type="dxa"/>
        </w:tblCellMar>
        <w:tblLook w:val="01E0" w:firstRow="1" w:lastRow="1" w:firstColumn="1" w:lastColumn="1" w:noHBand="0" w:noVBand="0"/>
      </w:tblPr>
      <w:tblGrid>
        <w:gridCol w:w="3315"/>
        <w:gridCol w:w="6459"/>
      </w:tblGrid>
      <w:tr w:rsidR="00EF0806" w:rsidTr="00A25551">
        <w:trPr>
          <w:trHeight w:hRule="exact" w:val="964"/>
        </w:trPr>
        <w:tc>
          <w:tcPr>
            <w:tcW w:w="3315" w:type="dxa"/>
            <w:tcBorders>
              <w:top w:val="single" w:sz="4" w:space="0" w:color="000000"/>
              <w:left w:val="single" w:sz="4" w:space="0" w:color="000000"/>
              <w:bottom w:val="single" w:sz="4" w:space="0" w:color="000000"/>
              <w:right w:val="single" w:sz="4" w:space="0" w:color="000000"/>
            </w:tcBorders>
          </w:tcPr>
          <w:p w:rsidR="00EF0806" w:rsidRDefault="00EF0806" w:rsidP="003B1469">
            <w:pPr>
              <w:spacing w:line="247" w:lineRule="exact"/>
              <w:ind w:left="102" w:right="-20"/>
              <w:rPr>
                <w:rFonts w:ascii="Arial" w:eastAsia="Arial" w:hAnsi="Arial" w:cs="Arial"/>
              </w:rPr>
            </w:pPr>
            <w:r>
              <w:rPr>
                <w:rFonts w:ascii="Arial" w:eastAsia="Arial" w:hAnsi="Arial" w:cs="Arial"/>
                <w:b/>
                <w:bCs/>
                <w:spacing w:val="-1"/>
              </w:rPr>
              <w:t>P</w:t>
            </w:r>
            <w:r>
              <w:rPr>
                <w:rFonts w:ascii="Arial" w:eastAsia="Arial" w:hAnsi="Arial" w:cs="Arial"/>
                <w:b/>
                <w:bCs/>
              </w:rPr>
              <w:t>ol</w:t>
            </w:r>
            <w:r>
              <w:rPr>
                <w:rFonts w:ascii="Arial" w:eastAsia="Arial" w:hAnsi="Arial" w:cs="Arial"/>
                <w:b/>
                <w:bCs/>
                <w:spacing w:val="1"/>
              </w:rPr>
              <w:t>i</w:t>
            </w:r>
            <w:r>
              <w:rPr>
                <w:rFonts w:ascii="Arial" w:eastAsia="Arial" w:hAnsi="Arial" w:cs="Arial"/>
                <w:b/>
                <w:bCs/>
              </w:rPr>
              <w:t>c</w:t>
            </w:r>
            <w:r>
              <w:rPr>
                <w:rFonts w:ascii="Arial" w:eastAsia="Arial" w:hAnsi="Arial" w:cs="Arial"/>
                <w:b/>
                <w:bCs/>
                <w:spacing w:val="-6"/>
              </w:rPr>
              <w:t>y</w:t>
            </w:r>
            <w:r>
              <w:rPr>
                <w:rFonts w:ascii="Arial" w:eastAsia="Arial" w:hAnsi="Arial" w:cs="Arial"/>
                <w:b/>
                <w:bCs/>
                <w:spacing w:val="1"/>
              </w:rPr>
              <w:t>/</w:t>
            </w:r>
            <w:r>
              <w:rPr>
                <w:rFonts w:ascii="Arial" w:eastAsia="Arial" w:hAnsi="Arial" w:cs="Arial"/>
                <w:b/>
                <w:bCs/>
                <w:spacing w:val="-1"/>
              </w:rPr>
              <w:t>P</w:t>
            </w:r>
            <w:r>
              <w:rPr>
                <w:rFonts w:ascii="Arial" w:eastAsia="Arial" w:hAnsi="Arial" w:cs="Arial"/>
                <w:b/>
                <w:bCs/>
              </w:rPr>
              <w:t>roc</w:t>
            </w:r>
            <w:r>
              <w:rPr>
                <w:rFonts w:ascii="Arial" w:eastAsia="Arial" w:hAnsi="Arial" w:cs="Arial"/>
                <w:b/>
                <w:bCs/>
                <w:spacing w:val="-1"/>
              </w:rPr>
              <w:t>e</w:t>
            </w:r>
            <w:r>
              <w:rPr>
                <w:rFonts w:ascii="Arial" w:eastAsia="Arial" w:hAnsi="Arial" w:cs="Arial"/>
                <w:b/>
                <w:bCs/>
              </w:rPr>
              <w:t>d</w:t>
            </w:r>
            <w:r>
              <w:rPr>
                <w:rFonts w:ascii="Arial" w:eastAsia="Arial" w:hAnsi="Arial" w:cs="Arial"/>
                <w:b/>
                <w:bCs/>
                <w:spacing w:val="-1"/>
              </w:rPr>
              <w:t>u</w:t>
            </w:r>
            <w:r>
              <w:rPr>
                <w:rFonts w:ascii="Arial" w:eastAsia="Arial" w:hAnsi="Arial" w:cs="Arial"/>
                <w:b/>
                <w:bCs/>
              </w:rPr>
              <w:t>re</w:t>
            </w:r>
            <w:r>
              <w:rPr>
                <w:rFonts w:ascii="Arial" w:eastAsia="Arial" w:hAnsi="Arial" w:cs="Arial"/>
                <w:b/>
                <w:bCs/>
                <w:spacing w:val="1"/>
              </w:rPr>
              <w:t>/G</w:t>
            </w:r>
            <w:r>
              <w:rPr>
                <w:rFonts w:ascii="Arial" w:eastAsia="Arial" w:hAnsi="Arial" w:cs="Arial"/>
                <w:b/>
                <w:bCs/>
                <w:spacing w:val="-3"/>
              </w:rPr>
              <w:t>u</w:t>
            </w:r>
            <w:r>
              <w:rPr>
                <w:rFonts w:ascii="Arial" w:eastAsia="Arial" w:hAnsi="Arial" w:cs="Arial"/>
                <w:b/>
                <w:bCs/>
                <w:spacing w:val="1"/>
              </w:rPr>
              <w:t>i</w:t>
            </w:r>
            <w:r>
              <w:rPr>
                <w:rFonts w:ascii="Arial" w:eastAsia="Arial" w:hAnsi="Arial" w:cs="Arial"/>
                <w:b/>
                <w:bCs/>
                <w:spacing w:val="-3"/>
              </w:rPr>
              <w:t>d</w:t>
            </w:r>
            <w:r>
              <w:rPr>
                <w:rFonts w:ascii="Arial" w:eastAsia="Arial" w:hAnsi="Arial" w:cs="Arial"/>
                <w:b/>
                <w:bCs/>
              </w:rPr>
              <w:t>el</w:t>
            </w:r>
            <w:r>
              <w:rPr>
                <w:rFonts w:ascii="Arial" w:eastAsia="Arial" w:hAnsi="Arial" w:cs="Arial"/>
                <w:b/>
                <w:bCs/>
                <w:spacing w:val="2"/>
              </w:rPr>
              <w:t>i</w:t>
            </w:r>
            <w:r>
              <w:rPr>
                <w:rFonts w:ascii="Arial" w:eastAsia="Arial" w:hAnsi="Arial" w:cs="Arial"/>
                <w:b/>
                <w:bCs/>
              </w:rPr>
              <w:t>n</w:t>
            </w:r>
            <w:r>
              <w:rPr>
                <w:rFonts w:ascii="Arial" w:eastAsia="Arial" w:hAnsi="Arial" w:cs="Arial"/>
                <w:b/>
                <w:bCs/>
                <w:spacing w:val="-3"/>
              </w:rPr>
              <w:t>e</w:t>
            </w:r>
            <w:r>
              <w:rPr>
                <w:rFonts w:ascii="Arial" w:eastAsia="Arial" w:hAnsi="Arial" w:cs="Arial"/>
                <w:b/>
                <w:bCs/>
              </w:rPr>
              <w:t>:</w:t>
            </w:r>
          </w:p>
        </w:tc>
        <w:tc>
          <w:tcPr>
            <w:tcW w:w="6459" w:type="dxa"/>
            <w:tcBorders>
              <w:top w:val="single" w:sz="4" w:space="0" w:color="000000"/>
              <w:left w:val="single" w:sz="4" w:space="0" w:color="000000"/>
              <w:bottom w:val="single" w:sz="4" w:space="0" w:color="000000"/>
              <w:right w:val="single" w:sz="4" w:space="0" w:color="000000"/>
            </w:tcBorders>
          </w:tcPr>
          <w:p w:rsidR="00EF0806" w:rsidRPr="001A4C0F" w:rsidRDefault="00EF0806" w:rsidP="003B1469">
            <w:pPr>
              <w:spacing w:line="250" w:lineRule="exact"/>
              <w:ind w:left="102" w:right="-20"/>
              <w:rPr>
                <w:rFonts w:ascii="Arial" w:eastAsia="Arial" w:hAnsi="Arial" w:cs="Arial"/>
                <w:sz w:val="22"/>
                <w:szCs w:val="22"/>
              </w:rPr>
            </w:pPr>
            <w:r w:rsidRPr="001A4C0F">
              <w:rPr>
                <w:rFonts w:ascii="Arial" w:eastAsia="Arial" w:hAnsi="Arial" w:cs="Arial"/>
                <w:sz w:val="22"/>
                <w:szCs w:val="22"/>
              </w:rPr>
              <w:t>Subcontractor Fees and Charges Policy</w:t>
            </w:r>
          </w:p>
        </w:tc>
      </w:tr>
      <w:tr w:rsidR="00EF0806" w:rsidTr="00A25551">
        <w:trPr>
          <w:trHeight w:hRule="exact" w:val="917"/>
        </w:trPr>
        <w:tc>
          <w:tcPr>
            <w:tcW w:w="3315" w:type="dxa"/>
            <w:tcBorders>
              <w:top w:val="single" w:sz="4" w:space="0" w:color="000000"/>
              <w:left w:val="single" w:sz="4" w:space="0" w:color="000000"/>
              <w:bottom w:val="single" w:sz="4" w:space="0" w:color="000000"/>
              <w:right w:val="single" w:sz="4" w:space="0" w:color="000000"/>
            </w:tcBorders>
          </w:tcPr>
          <w:p w:rsidR="00EF0806" w:rsidRDefault="00EF0806" w:rsidP="003B1469">
            <w:pPr>
              <w:spacing w:line="248" w:lineRule="exact"/>
              <w:ind w:left="102" w:right="-20"/>
              <w:rPr>
                <w:rFonts w:ascii="Arial" w:eastAsia="Arial" w:hAnsi="Arial" w:cs="Arial"/>
              </w:rPr>
            </w:pP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n</w:t>
            </w:r>
            <w:r>
              <w:rPr>
                <w:rFonts w:ascii="Arial" w:eastAsia="Arial" w:hAnsi="Arial" w:cs="Arial"/>
                <w:b/>
                <w:bCs/>
                <w:spacing w:val="1"/>
              </w:rPr>
              <w:t>i</w:t>
            </w:r>
            <w:r>
              <w:rPr>
                <w:rFonts w:ascii="Arial" w:eastAsia="Arial" w:hAnsi="Arial" w:cs="Arial"/>
                <w:b/>
                <w:bCs/>
              </w:rPr>
              <w:t>or</w:t>
            </w:r>
            <w:r>
              <w:rPr>
                <w:rFonts w:ascii="Arial" w:eastAsia="Arial" w:hAnsi="Arial" w:cs="Arial"/>
                <w:b/>
                <w:bCs/>
                <w:spacing w:val="-1"/>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n</w:t>
            </w:r>
            <w:r>
              <w:rPr>
                <w:rFonts w:ascii="Arial" w:eastAsia="Arial" w:hAnsi="Arial" w:cs="Arial"/>
                <w:b/>
                <w:bCs/>
              </w:rPr>
              <w:t>a</w:t>
            </w:r>
            <w:r>
              <w:rPr>
                <w:rFonts w:ascii="Arial" w:eastAsia="Arial" w:hAnsi="Arial" w:cs="Arial"/>
                <w:b/>
                <w:bCs/>
                <w:spacing w:val="-1"/>
              </w:rPr>
              <w:t>g</w:t>
            </w:r>
            <w:r>
              <w:rPr>
                <w:rFonts w:ascii="Arial" w:eastAsia="Arial" w:hAnsi="Arial" w:cs="Arial"/>
                <w:b/>
                <w:bCs/>
              </w:rPr>
              <w:t>er</w:t>
            </w:r>
            <w:r>
              <w:rPr>
                <w:rFonts w:ascii="Arial" w:eastAsia="Arial" w:hAnsi="Arial" w:cs="Arial"/>
                <w:b/>
                <w:bCs/>
                <w:spacing w:val="-1"/>
              </w:rPr>
              <w:t xml:space="preserve"> R</w:t>
            </w:r>
            <w:r>
              <w:rPr>
                <w:rFonts w:ascii="Arial" w:eastAsia="Arial" w:hAnsi="Arial" w:cs="Arial"/>
                <w:b/>
                <w:bCs/>
              </w:rPr>
              <w:t>e</w:t>
            </w:r>
            <w:r>
              <w:rPr>
                <w:rFonts w:ascii="Arial" w:eastAsia="Arial" w:hAnsi="Arial" w:cs="Arial"/>
                <w:b/>
                <w:bCs/>
                <w:spacing w:val="-1"/>
              </w:rPr>
              <w:t>s</w:t>
            </w:r>
            <w:r>
              <w:rPr>
                <w:rFonts w:ascii="Arial" w:eastAsia="Arial" w:hAnsi="Arial" w:cs="Arial"/>
                <w:b/>
                <w:bCs/>
              </w:rPr>
              <w:t>p</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bl</w:t>
            </w:r>
            <w:r>
              <w:rPr>
                <w:rFonts w:ascii="Arial" w:eastAsia="Arial" w:hAnsi="Arial" w:cs="Arial"/>
                <w:b/>
                <w:bCs/>
                <w:spacing w:val="-2"/>
              </w:rPr>
              <w:t>e</w:t>
            </w:r>
            <w:r>
              <w:rPr>
                <w:rFonts w:ascii="Arial" w:eastAsia="Arial" w:hAnsi="Arial" w:cs="Arial"/>
                <w:b/>
                <w:bCs/>
              </w:rPr>
              <w:t>:</w:t>
            </w:r>
          </w:p>
        </w:tc>
        <w:tc>
          <w:tcPr>
            <w:tcW w:w="6459" w:type="dxa"/>
            <w:tcBorders>
              <w:top w:val="single" w:sz="4" w:space="0" w:color="000000"/>
              <w:left w:val="single" w:sz="4" w:space="0" w:color="000000"/>
              <w:bottom w:val="single" w:sz="4" w:space="0" w:color="000000"/>
              <w:right w:val="single" w:sz="4" w:space="0" w:color="000000"/>
            </w:tcBorders>
          </w:tcPr>
          <w:p w:rsidR="00EF0806" w:rsidRPr="001A4C0F" w:rsidRDefault="0011359E" w:rsidP="00A7721D">
            <w:pPr>
              <w:spacing w:line="250" w:lineRule="exact"/>
              <w:ind w:left="102" w:right="-20"/>
              <w:rPr>
                <w:rFonts w:ascii="Arial" w:eastAsia="Arial" w:hAnsi="Arial" w:cs="Arial"/>
                <w:sz w:val="22"/>
                <w:szCs w:val="22"/>
              </w:rPr>
            </w:pPr>
            <w:r>
              <w:rPr>
                <w:rFonts w:ascii="Arial" w:eastAsia="Arial" w:hAnsi="Arial" w:cs="Arial"/>
                <w:sz w:val="22"/>
                <w:szCs w:val="22"/>
              </w:rPr>
              <w:t>Assistant Principal – Performance and Planning</w:t>
            </w:r>
          </w:p>
        </w:tc>
      </w:tr>
      <w:tr w:rsidR="00EF0806" w:rsidTr="00A25551">
        <w:trPr>
          <w:trHeight w:hRule="exact" w:val="917"/>
        </w:trPr>
        <w:tc>
          <w:tcPr>
            <w:tcW w:w="3315" w:type="dxa"/>
            <w:tcBorders>
              <w:top w:val="single" w:sz="4" w:space="0" w:color="000000"/>
              <w:left w:val="single" w:sz="4" w:space="0" w:color="000000"/>
              <w:bottom w:val="single" w:sz="4" w:space="0" w:color="000000"/>
              <w:right w:val="single" w:sz="4" w:space="0" w:color="000000"/>
            </w:tcBorders>
          </w:tcPr>
          <w:p w:rsidR="00EF0806" w:rsidRDefault="00EF0806" w:rsidP="003B1469">
            <w:pPr>
              <w:spacing w:line="248" w:lineRule="exact"/>
              <w:ind w:left="102" w:right="-20"/>
              <w:rPr>
                <w:rFonts w:ascii="Arial" w:eastAsia="Arial" w:hAnsi="Arial" w:cs="Arial"/>
                <w:b/>
                <w:bCs/>
                <w:spacing w:val="-1"/>
              </w:rPr>
            </w:pPr>
            <w:r>
              <w:rPr>
                <w:rFonts w:ascii="Arial" w:eastAsia="Arial" w:hAnsi="Arial" w:cs="Arial"/>
                <w:b/>
                <w:bCs/>
                <w:spacing w:val="-1"/>
              </w:rPr>
              <w:t>Author:</w:t>
            </w:r>
          </w:p>
        </w:tc>
        <w:tc>
          <w:tcPr>
            <w:tcW w:w="6459" w:type="dxa"/>
            <w:tcBorders>
              <w:top w:val="single" w:sz="4" w:space="0" w:color="000000"/>
              <w:left w:val="single" w:sz="4" w:space="0" w:color="000000"/>
              <w:bottom w:val="single" w:sz="4" w:space="0" w:color="000000"/>
              <w:right w:val="single" w:sz="4" w:space="0" w:color="000000"/>
            </w:tcBorders>
          </w:tcPr>
          <w:p w:rsidR="00EF0806" w:rsidRPr="001A4C0F" w:rsidRDefault="0011359E" w:rsidP="00A7721D">
            <w:pPr>
              <w:spacing w:line="250" w:lineRule="exact"/>
              <w:ind w:left="102" w:right="-20"/>
              <w:rPr>
                <w:rFonts w:ascii="Arial" w:eastAsia="Arial" w:hAnsi="Arial" w:cs="Arial"/>
                <w:sz w:val="22"/>
                <w:szCs w:val="22"/>
              </w:rPr>
            </w:pPr>
            <w:r>
              <w:rPr>
                <w:rFonts w:ascii="Arial" w:eastAsia="Arial" w:hAnsi="Arial" w:cs="Arial"/>
                <w:sz w:val="22"/>
                <w:szCs w:val="22"/>
              </w:rPr>
              <w:t>Assistant Principal – Performance and Planning</w:t>
            </w:r>
          </w:p>
        </w:tc>
      </w:tr>
      <w:tr w:rsidR="00EF0806" w:rsidTr="00A25551">
        <w:trPr>
          <w:trHeight w:hRule="exact" w:val="917"/>
        </w:trPr>
        <w:tc>
          <w:tcPr>
            <w:tcW w:w="3315" w:type="dxa"/>
            <w:tcBorders>
              <w:top w:val="single" w:sz="4" w:space="0" w:color="000000"/>
              <w:left w:val="single" w:sz="4" w:space="0" w:color="000000"/>
              <w:bottom w:val="single" w:sz="4" w:space="0" w:color="000000"/>
              <w:right w:val="single" w:sz="4" w:space="0" w:color="000000"/>
            </w:tcBorders>
          </w:tcPr>
          <w:p w:rsidR="00EF0806" w:rsidRDefault="00EF0806" w:rsidP="003B1469">
            <w:pPr>
              <w:spacing w:line="247" w:lineRule="exact"/>
              <w:ind w:left="102" w:right="-20"/>
              <w:rPr>
                <w:rFonts w:ascii="Arial" w:eastAsia="Arial" w:hAnsi="Arial" w:cs="Arial"/>
              </w:rPr>
            </w:pPr>
            <w:r>
              <w:rPr>
                <w:rFonts w:ascii="Arial" w:eastAsia="Arial" w:hAnsi="Arial" w:cs="Arial"/>
                <w:b/>
                <w:bCs/>
                <w:spacing w:val="-1"/>
              </w:rPr>
              <w:t>Approved By</w:t>
            </w:r>
            <w:r>
              <w:rPr>
                <w:rFonts w:ascii="Arial" w:eastAsia="Arial" w:hAnsi="Arial" w:cs="Arial"/>
                <w:b/>
                <w:bCs/>
              </w:rPr>
              <w:t>:</w:t>
            </w:r>
          </w:p>
        </w:tc>
        <w:tc>
          <w:tcPr>
            <w:tcW w:w="6459" w:type="dxa"/>
            <w:tcBorders>
              <w:top w:val="single" w:sz="4" w:space="0" w:color="000000"/>
              <w:left w:val="single" w:sz="4" w:space="0" w:color="000000"/>
              <w:bottom w:val="single" w:sz="4" w:space="0" w:color="000000"/>
              <w:right w:val="single" w:sz="4" w:space="0" w:color="000000"/>
            </w:tcBorders>
          </w:tcPr>
          <w:p w:rsidR="00EF0806" w:rsidRPr="001A4C0F" w:rsidRDefault="00551014" w:rsidP="003B1469">
            <w:pPr>
              <w:spacing w:line="250" w:lineRule="exact"/>
              <w:ind w:left="102" w:right="-20"/>
              <w:rPr>
                <w:rFonts w:ascii="Arial" w:eastAsia="Arial" w:hAnsi="Arial" w:cs="Arial"/>
                <w:sz w:val="22"/>
                <w:szCs w:val="22"/>
              </w:rPr>
            </w:pPr>
            <w:r>
              <w:rPr>
                <w:rFonts w:ascii="Arial" w:eastAsia="Arial" w:hAnsi="Arial" w:cs="Arial"/>
                <w:sz w:val="22"/>
                <w:szCs w:val="22"/>
              </w:rPr>
              <w:t>Board of Corporation</w:t>
            </w:r>
          </w:p>
        </w:tc>
      </w:tr>
      <w:tr w:rsidR="00EF0806" w:rsidTr="00A25551">
        <w:trPr>
          <w:trHeight w:hRule="exact" w:val="917"/>
        </w:trPr>
        <w:tc>
          <w:tcPr>
            <w:tcW w:w="3315" w:type="dxa"/>
            <w:tcBorders>
              <w:top w:val="single" w:sz="4" w:space="0" w:color="000000"/>
              <w:left w:val="single" w:sz="4" w:space="0" w:color="000000"/>
              <w:bottom w:val="single" w:sz="4" w:space="0" w:color="000000"/>
              <w:right w:val="single" w:sz="4" w:space="0" w:color="000000"/>
            </w:tcBorders>
          </w:tcPr>
          <w:p w:rsidR="00EF0806" w:rsidRDefault="00EF0806" w:rsidP="003B1469">
            <w:pPr>
              <w:spacing w:line="250" w:lineRule="exact"/>
              <w:ind w:left="102" w:right="-20"/>
              <w:rPr>
                <w:rFonts w:ascii="Arial" w:eastAsia="Arial" w:hAnsi="Arial" w:cs="Arial"/>
              </w:rPr>
            </w:pPr>
            <w:r>
              <w:rPr>
                <w:rFonts w:ascii="Arial" w:eastAsia="Arial" w:hAnsi="Arial" w:cs="Arial"/>
                <w:b/>
                <w:bCs/>
                <w:spacing w:val="1"/>
              </w:rPr>
              <w:t>Date Approved:</w:t>
            </w:r>
          </w:p>
        </w:tc>
        <w:tc>
          <w:tcPr>
            <w:tcW w:w="6459" w:type="dxa"/>
            <w:tcBorders>
              <w:top w:val="single" w:sz="4" w:space="0" w:color="000000"/>
              <w:left w:val="single" w:sz="4" w:space="0" w:color="000000"/>
              <w:bottom w:val="single" w:sz="4" w:space="0" w:color="000000"/>
              <w:right w:val="single" w:sz="4" w:space="0" w:color="000000"/>
            </w:tcBorders>
          </w:tcPr>
          <w:p w:rsidR="00EF0806" w:rsidRPr="001A4C0F" w:rsidRDefault="00B15CC4" w:rsidP="003B1469">
            <w:pPr>
              <w:spacing w:line="252" w:lineRule="exact"/>
              <w:ind w:left="102" w:right="-20"/>
              <w:rPr>
                <w:rFonts w:ascii="Arial" w:eastAsia="Arial" w:hAnsi="Arial" w:cs="Arial"/>
                <w:sz w:val="22"/>
                <w:szCs w:val="22"/>
              </w:rPr>
            </w:pPr>
            <w:r>
              <w:rPr>
                <w:rFonts w:ascii="Arial" w:eastAsia="Arial" w:hAnsi="Arial" w:cs="Arial"/>
                <w:sz w:val="22"/>
                <w:szCs w:val="22"/>
              </w:rPr>
              <w:t>July 202</w:t>
            </w:r>
            <w:r w:rsidR="003B1469">
              <w:rPr>
                <w:rFonts w:ascii="Arial" w:eastAsia="Arial" w:hAnsi="Arial" w:cs="Arial"/>
                <w:sz w:val="22"/>
                <w:szCs w:val="22"/>
              </w:rPr>
              <w:t>2</w:t>
            </w:r>
          </w:p>
        </w:tc>
      </w:tr>
      <w:tr w:rsidR="00EF0806" w:rsidTr="00A25551">
        <w:trPr>
          <w:trHeight w:hRule="exact" w:val="919"/>
        </w:trPr>
        <w:tc>
          <w:tcPr>
            <w:tcW w:w="3315" w:type="dxa"/>
            <w:tcBorders>
              <w:top w:val="single" w:sz="4" w:space="0" w:color="000000"/>
              <w:left w:val="single" w:sz="4" w:space="0" w:color="000000"/>
              <w:bottom w:val="single" w:sz="4" w:space="0" w:color="000000"/>
              <w:right w:val="single" w:sz="4" w:space="0" w:color="000000"/>
            </w:tcBorders>
          </w:tcPr>
          <w:p w:rsidR="00EF0806" w:rsidRPr="00031721" w:rsidRDefault="00EF0806" w:rsidP="003B1469">
            <w:pPr>
              <w:spacing w:line="250" w:lineRule="exact"/>
              <w:ind w:left="102" w:right="-20"/>
              <w:rPr>
                <w:rFonts w:ascii="Arial" w:eastAsia="Arial" w:hAnsi="Arial" w:cs="Arial"/>
              </w:rPr>
            </w:pPr>
            <w:r w:rsidRPr="00031721">
              <w:rPr>
                <w:rFonts w:ascii="Arial" w:eastAsia="Arial" w:hAnsi="Arial" w:cs="Arial"/>
                <w:b/>
                <w:bCs/>
                <w:spacing w:val="-1"/>
              </w:rPr>
              <w:t>Next R</w:t>
            </w:r>
            <w:r w:rsidRPr="00031721">
              <w:rPr>
                <w:rFonts w:ascii="Arial" w:eastAsia="Arial" w:hAnsi="Arial" w:cs="Arial"/>
                <w:b/>
                <w:bCs/>
              </w:rPr>
              <w:t>e</w:t>
            </w:r>
            <w:r w:rsidRPr="00031721">
              <w:rPr>
                <w:rFonts w:ascii="Arial" w:eastAsia="Arial" w:hAnsi="Arial" w:cs="Arial"/>
                <w:b/>
                <w:bCs/>
                <w:spacing w:val="-3"/>
              </w:rPr>
              <w:t>v</w:t>
            </w:r>
            <w:r w:rsidRPr="00031721">
              <w:rPr>
                <w:rFonts w:ascii="Arial" w:eastAsia="Arial" w:hAnsi="Arial" w:cs="Arial"/>
                <w:b/>
                <w:bCs/>
                <w:spacing w:val="1"/>
              </w:rPr>
              <w:t>i</w:t>
            </w:r>
            <w:r w:rsidRPr="00031721">
              <w:rPr>
                <w:rFonts w:ascii="Arial" w:eastAsia="Arial" w:hAnsi="Arial" w:cs="Arial"/>
                <w:b/>
                <w:bCs/>
                <w:spacing w:val="-3"/>
              </w:rPr>
              <w:t>e</w:t>
            </w:r>
            <w:r w:rsidRPr="00031721">
              <w:rPr>
                <w:rFonts w:ascii="Arial" w:eastAsia="Arial" w:hAnsi="Arial" w:cs="Arial"/>
                <w:b/>
                <w:bCs/>
              </w:rPr>
              <w:t>w</w:t>
            </w:r>
            <w:r w:rsidRPr="00031721">
              <w:rPr>
                <w:rFonts w:ascii="Arial" w:eastAsia="Arial" w:hAnsi="Arial" w:cs="Arial"/>
                <w:b/>
                <w:bCs/>
                <w:spacing w:val="4"/>
              </w:rPr>
              <w:t xml:space="preserve"> </w:t>
            </w:r>
            <w:r w:rsidRPr="00031721">
              <w:rPr>
                <w:rFonts w:ascii="Arial" w:eastAsia="Arial" w:hAnsi="Arial" w:cs="Arial"/>
                <w:b/>
                <w:bCs/>
              </w:rPr>
              <w:t>D</w:t>
            </w:r>
            <w:r w:rsidRPr="00031721">
              <w:rPr>
                <w:rFonts w:ascii="Arial" w:eastAsia="Arial" w:hAnsi="Arial" w:cs="Arial"/>
                <w:b/>
                <w:bCs/>
                <w:spacing w:val="-1"/>
              </w:rPr>
              <w:t>a</w:t>
            </w:r>
            <w:r w:rsidRPr="00031721">
              <w:rPr>
                <w:rFonts w:ascii="Arial" w:eastAsia="Arial" w:hAnsi="Arial" w:cs="Arial"/>
                <w:b/>
                <w:bCs/>
                <w:spacing w:val="1"/>
              </w:rPr>
              <w:t>t</w:t>
            </w:r>
            <w:r w:rsidRPr="00031721">
              <w:rPr>
                <w:rFonts w:ascii="Arial" w:eastAsia="Arial" w:hAnsi="Arial" w:cs="Arial"/>
                <w:b/>
                <w:bCs/>
                <w:spacing w:val="-3"/>
              </w:rPr>
              <w:t>e</w:t>
            </w:r>
            <w:r w:rsidRPr="00031721">
              <w:rPr>
                <w:rFonts w:ascii="Arial" w:eastAsia="Arial" w:hAnsi="Arial" w:cs="Arial"/>
                <w:b/>
                <w:bCs/>
              </w:rPr>
              <w:t>:</w:t>
            </w:r>
          </w:p>
        </w:tc>
        <w:tc>
          <w:tcPr>
            <w:tcW w:w="6459" w:type="dxa"/>
            <w:tcBorders>
              <w:top w:val="single" w:sz="4" w:space="0" w:color="000000"/>
              <w:left w:val="single" w:sz="4" w:space="0" w:color="000000"/>
              <w:bottom w:val="single" w:sz="4" w:space="0" w:color="000000"/>
              <w:right w:val="single" w:sz="4" w:space="0" w:color="000000"/>
            </w:tcBorders>
          </w:tcPr>
          <w:p w:rsidR="00EF0806" w:rsidRPr="001A4C0F" w:rsidRDefault="000E16D4" w:rsidP="00AE1F1B">
            <w:pPr>
              <w:spacing w:line="252" w:lineRule="exact"/>
              <w:ind w:left="102" w:right="-20"/>
              <w:rPr>
                <w:rFonts w:ascii="Arial" w:eastAsia="Arial" w:hAnsi="Arial" w:cs="Arial"/>
                <w:sz w:val="22"/>
                <w:szCs w:val="22"/>
              </w:rPr>
            </w:pPr>
            <w:r w:rsidRPr="001A4C0F">
              <w:rPr>
                <w:rFonts w:ascii="Arial" w:eastAsia="Arial" w:hAnsi="Arial" w:cs="Arial"/>
                <w:sz w:val="22"/>
                <w:szCs w:val="22"/>
              </w:rPr>
              <w:t>June</w:t>
            </w:r>
            <w:r w:rsidR="00EF0806" w:rsidRPr="001A4C0F">
              <w:rPr>
                <w:rFonts w:ascii="Arial" w:eastAsia="Arial" w:hAnsi="Arial" w:cs="Arial"/>
                <w:sz w:val="22"/>
                <w:szCs w:val="22"/>
              </w:rPr>
              <w:t xml:space="preserve"> 20</w:t>
            </w:r>
            <w:r w:rsidR="00AE1F1B">
              <w:rPr>
                <w:rFonts w:ascii="Arial" w:eastAsia="Arial" w:hAnsi="Arial" w:cs="Arial"/>
                <w:sz w:val="22"/>
                <w:szCs w:val="22"/>
              </w:rPr>
              <w:t>2</w:t>
            </w:r>
            <w:r w:rsidR="003B1469">
              <w:rPr>
                <w:rFonts w:ascii="Arial" w:eastAsia="Arial" w:hAnsi="Arial" w:cs="Arial"/>
                <w:sz w:val="22"/>
                <w:szCs w:val="22"/>
              </w:rPr>
              <w:t>3</w:t>
            </w:r>
          </w:p>
        </w:tc>
      </w:tr>
      <w:tr w:rsidR="00EF0806" w:rsidTr="00A25551">
        <w:tc>
          <w:tcPr>
            <w:tcW w:w="3315" w:type="dxa"/>
            <w:tcBorders>
              <w:top w:val="single" w:sz="4" w:space="0" w:color="000000"/>
              <w:left w:val="single" w:sz="4" w:space="0" w:color="000000"/>
              <w:bottom w:val="single" w:sz="4" w:space="0" w:color="000000"/>
              <w:right w:val="single" w:sz="4" w:space="0" w:color="000000"/>
            </w:tcBorders>
          </w:tcPr>
          <w:p w:rsidR="00EF0806" w:rsidRDefault="00EF0806" w:rsidP="003B1469">
            <w:pPr>
              <w:spacing w:line="250" w:lineRule="exact"/>
              <w:ind w:left="102" w:right="-20"/>
              <w:rPr>
                <w:rFonts w:ascii="Arial" w:eastAsia="Arial" w:hAnsi="Arial" w:cs="Arial"/>
                <w:b/>
                <w:bCs/>
                <w:spacing w:val="-1"/>
              </w:rPr>
            </w:pPr>
            <w:r>
              <w:rPr>
                <w:rFonts w:ascii="Arial" w:eastAsia="Arial" w:hAnsi="Arial" w:cs="Arial"/>
                <w:b/>
                <w:bCs/>
                <w:spacing w:val="-1"/>
              </w:rPr>
              <w:t>Publication:</w:t>
            </w:r>
          </w:p>
        </w:tc>
        <w:tc>
          <w:tcPr>
            <w:tcW w:w="6459" w:type="dxa"/>
            <w:tcBorders>
              <w:top w:val="single" w:sz="4" w:space="0" w:color="000000"/>
              <w:left w:val="single" w:sz="4" w:space="0" w:color="000000"/>
              <w:bottom w:val="single" w:sz="4" w:space="0" w:color="000000"/>
              <w:right w:val="single" w:sz="4" w:space="0" w:color="000000"/>
            </w:tcBorders>
          </w:tcPr>
          <w:p w:rsidR="00EF0806" w:rsidRDefault="003F688D" w:rsidP="00A25551">
            <w:pPr>
              <w:ind w:left="142"/>
              <w:rPr>
                <w:rFonts w:ascii="Arial" w:hAnsi="Arial" w:cs="Arial"/>
                <w:sz w:val="22"/>
                <w:szCs w:val="22"/>
              </w:rPr>
            </w:pPr>
            <w:r>
              <w:rPr>
                <w:rFonts w:ascii="Arial" w:hAnsi="Arial" w:cs="Arial"/>
                <w:sz w:val="22"/>
                <w:szCs w:val="22"/>
              </w:rPr>
              <w:t>Nelson and Colne College Group Staff Hub</w:t>
            </w:r>
          </w:p>
          <w:p w:rsidR="003F688D" w:rsidRDefault="003F688D" w:rsidP="00A25551">
            <w:pPr>
              <w:ind w:left="142"/>
              <w:rPr>
                <w:rFonts w:ascii="Arial" w:hAnsi="Arial" w:cs="Arial"/>
                <w:sz w:val="22"/>
                <w:szCs w:val="22"/>
              </w:rPr>
            </w:pPr>
            <w:r>
              <w:rPr>
                <w:rFonts w:ascii="Arial" w:hAnsi="Arial" w:cs="Arial"/>
                <w:sz w:val="22"/>
                <w:szCs w:val="22"/>
              </w:rPr>
              <w:t>Nelson and Colne Colleg</w:t>
            </w:r>
            <w:r w:rsidR="003A4603">
              <w:rPr>
                <w:rFonts w:ascii="Arial" w:hAnsi="Arial" w:cs="Arial"/>
                <w:sz w:val="22"/>
                <w:szCs w:val="22"/>
              </w:rPr>
              <w:t>e</w:t>
            </w:r>
            <w:r>
              <w:rPr>
                <w:rFonts w:ascii="Arial" w:hAnsi="Arial" w:cs="Arial"/>
                <w:sz w:val="22"/>
                <w:szCs w:val="22"/>
              </w:rPr>
              <w:t xml:space="preserve"> Group Website</w:t>
            </w:r>
          </w:p>
          <w:p w:rsidR="00EF0806" w:rsidRPr="001A4C0F" w:rsidRDefault="00EF0806" w:rsidP="00A25551">
            <w:pPr>
              <w:ind w:left="142"/>
              <w:rPr>
                <w:rFonts w:ascii="Arial" w:hAnsi="Arial" w:cs="Arial"/>
                <w:sz w:val="22"/>
                <w:szCs w:val="22"/>
              </w:rPr>
            </w:pPr>
            <w:r w:rsidRPr="001A4C0F">
              <w:rPr>
                <w:rFonts w:ascii="Arial" w:hAnsi="Arial" w:cs="Arial"/>
                <w:sz w:val="22"/>
                <w:szCs w:val="22"/>
              </w:rPr>
              <w:t>Nelson and Colne College Website</w:t>
            </w:r>
          </w:p>
          <w:p w:rsidR="00EF0806" w:rsidRPr="001A4C0F" w:rsidRDefault="00EF0806" w:rsidP="00A25551">
            <w:pPr>
              <w:ind w:left="142"/>
              <w:rPr>
                <w:rFonts w:ascii="Arial" w:hAnsi="Arial" w:cs="Arial"/>
                <w:sz w:val="22"/>
                <w:szCs w:val="22"/>
              </w:rPr>
            </w:pPr>
            <w:r w:rsidRPr="001A4C0F">
              <w:rPr>
                <w:rFonts w:ascii="Arial" w:hAnsi="Arial" w:cs="Arial"/>
                <w:sz w:val="22"/>
                <w:szCs w:val="22"/>
              </w:rPr>
              <w:t>Lancashire Adult Learning Website</w:t>
            </w:r>
          </w:p>
          <w:p w:rsidR="00EF0806" w:rsidRPr="00551014" w:rsidRDefault="00A02A85" w:rsidP="00551014">
            <w:pPr>
              <w:ind w:left="142"/>
              <w:rPr>
                <w:rFonts w:ascii="Arial" w:hAnsi="Arial" w:cs="Arial"/>
                <w:sz w:val="22"/>
                <w:szCs w:val="22"/>
              </w:rPr>
            </w:pPr>
            <w:r w:rsidRPr="001A4C0F">
              <w:rPr>
                <w:rFonts w:ascii="Arial" w:hAnsi="Arial" w:cs="Arial"/>
                <w:sz w:val="22"/>
                <w:szCs w:val="22"/>
              </w:rPr>
              <w:t>Accrington and Rossendale College Website</w:t>
            </w:r>
          </w:p>
        </w:tc>
      </w:tr>
      <w:tr w:rsidR="00EF0806" w:rsidRPr="00690872" w:rsidTr="00A25551">
        <w:tc>
          <w:tcPr>
            <w:tcW w:w="3315" w:type="dxa"/>
            <w:tcBorders>
              <w:top w:val="single" w:sz="4" w:space="0" w:color="000000"/>
              <w:left w:val="single" w:sz="4" w:space="0" w:color="000000"/>
              <w:bottom w:val="single" w:sz="4" w:space="0" w:color="000000"/>
              <w:right w:val="single" w:sz="4" w:space="0" w:color="000000"/>
            </w:tcBorders>
          </w:tcPr>
          <w:p w:rsidR="00EF0806" w:rsidRPr="00B143FA" w:rsidRDefault="00EF0806" w:rsidP="003B1469">
            <w:pPr>
              <w:spacing w:line="250" w:lineRule="exact"/>
              <w:ind w:left="102" w:right="-20"/>
              <w:rPr>
                <w:rFonts w:ascii="Arial" w:eastAsia="Arial" w:hAnsi="Arial" w:cs="Arial"/>
                <w:b/>
                <w:bCs/>
                <w:spacing w:val="-1"/>
              </w:rPr>
            </w:pPr>
            <w:r w:rsidRPr="00B143FA">
              <w:rPr>
                <w:rFonts w:ascii="Arial" w:eastAsia="Arial" w:hAnsi="Arial" w:cs="Arial"/>
                <w:b/>
                <w:bCs/>
                <w:spacing w:val="-1"/>
              </w:rPr>
              <w:t>Changes Made:</w:t>
            </w:r>
          </w:p>
        </w:tc>
        <w:tc>
          <w:tcPr>
            <w:tcW w:w="6459" w:type="dxa"/>
            <w:tcBorders>
              <w:top w:val="single" w:sz="4" w:space="0" w:color="000000"/>
              <w:left w:val="single" w:sz="4" w:space="0" w:color="000000"/>
              <w:bottom w:val="single" w:sz="4" w:space="0" w:color="000000"/>
              <w:right w:val="single" w:sz="4" w:space="0" w:color="000000"/>
            </w:tcBorders>
          </w:tcPr>
          <w:p w:rsidR="00694B2A" w:rsidRDefault="00694B2A" w:rsidP="00694B2A">
            <w:pPr>
              <w:ind w:left="131"/>
              <w:rPr>
                <w:rFonts w:ascii="Arial" w:hAnsi="Arial" w:cs="Arial"/>
                <w:sz w:val="22"/>
                <w:szCs w:val="22"/>
              </w:rPr>
            </w:pPr>
            <w:r>
              <w:rPr>
                <w:rFonts w:ascii="Arial" w:hAnsi="Arial" w:cs="Arial"/>
                <w:sz w:val="22"/>
                <w:szCs w:val="22"/>
              </w:rPr>
              <w:t>References to 20</w:t>
            </w:r>
            <w:r w:rsidR="008F6BD5">
              <w:rPr>
                <w:rFonts w:ascii="Arial" w:hAnsi="Arial" w:cs="Arial"/>
                <w:sz w:val="22"/>
                <w:szCs w:val="22"/>
              </w:rPr>
              <w:t>2</w:t>
            </w:r>
            <w:r w:rsidR="003B1469">
              <w:rPr>
                <w:rFonts w:ascii="Arial" w:hAnsi="Arial" w:cs="Arial"/>
                <w:sz w:val="22"/>
                <w:szCs w:val="22"/>
              </w:rPr>
              <w:t>1</w:t>
            </w:r>
            <w:r>
              <w:rPr>
                <w:rFonts w:ascii="Arial" w:hAnsi="Arial" w:cs="Arial"/>
                <w:sz w:val="22"/>
                <w:szCs w:val="22"/>
              </w:rPr>
              <w:t>/2</w:t>
            </w:r>
            <w:r w:rsidR="003B1469">
              <w:rPr>
                <w:rFonts w:ascii="Arial" w:hAnsi="Arial" w:cs="Arial"/>
                <w:sz w:val="22"/>
                <w:szCs w:val="22"/>
              </w:rPr>
              <w:t>2</w:t>
            </w:r>
            <w:r>
              <w:rPr>
                <w:rFonts w:ascii="Arial" w:hAnsi="Arial" w:cs="Arial"/>
                <w:sz w:val="22"/>
                <w:szCs w:val="22"/>
              </w:rPr>
              <w:t xml:space="preserve"> changed to 202</w:t>
            </w:r>
            <w:r w:rsidR="003B1469">
              <w:rPr>
                <w:rFonts w:ascii="Arial" w:hAnsi="Arial" w:cs="Arial"/>
                <w:sz w:val="22"/>
                <w:szCs w:val="22"/>
              </w:rPr>
              <w:t>2</w:t>
            </w:r>
            <w:r>
              <w:rPr>
                <w:rFonts w:ascii="Arial" w:hAnsi="Arial" w:cs="Arial"/>
                <w:sz w:val="22"/>
                <w:szCs w:val="22"/>
              </w:rPr>
              <w:t>/2</w:t>
            </w:r>
            <w:r w:rsidR="003B1469">
              <w:rPr>
                <w:rFonts w:ascii="Arial" w:hAnsi="Arial" w:cs="Arial"/>
                <w:sz w:val="22"/>
                <w:szCs w:val="22"/>
              </w:rPr>
              <w:t>3</w:t>
            </w:r>
          </w:p>
          <w:p w:rsidR="00694B2A" w:rsidRDefault="00694B2A" w:rsidP="00694B2A">
            <w:pPr>
              <w:ind w:left="131"/>
              <w:rPr>
                <w:rFonts w:ascii="Arial" w:hAnsi="Arial" w:cs="Arial"/>
                <w:sz w:val="22"/>
                <w:szCs w:val="22"/>
              </w:rPr>
            </w:pPr>
            <w:r>
              <w:rPr>
                <w:rFonts w:ascii="Arial" w:hAnsi="Arial" w:cs="Arial"/>
                <w:sz w:val="22"/>
                <w:szCs w:val="22"/>
              </w:rPr>
              <w:t>Reviewed to ensure compliance with 202</w:t>
            </w:r>
            <w:r w:rsidR="003B1469">
              <w:rPr>
                <w:rFonts w:ascii="Arial" w:hAnsi="Arial" w:cs="Arial"/>
                <w:sz w:val="22"/>
                <w:szCs w:val="22"/>
              </w:rPr>
              <w:t>2</w:t>
            </w:r>
            <w:r>
              <w:rPr>
                <w:rFonts w:ascii="Arial" w:hAnsi="Arial" w:cs="Arial"/>
                <w:sz w:val="22"/>
                <w:szCs w:val="22"/>
              </w:rPr>
              <w:t>/2</w:t>
            </w:r>
            <w:r w:rsidR="003B1469">
              <w:rPr>
                <w:rFonts w:ascii="Arial" w:hAnsi="Arial" w:cs="Arial"/>
                <w:sz w:val="22"/>
                <w:szCs w:val="22"/>
              </w:rPr>
              <w:t>3</w:t>
            </w:r>
            <w:r>
              <w:rPr>
                <w:rFonts w:ascii="Arial" w:hAnsi="Arial" w:cs="Arial"/>
                <w:sz w:val="22"/>
                <w:szCs w:val="22"/>
              </w:rPr>
              <w:t xml:space="preserve"> ESFA subcontracting guidance</w:t>
            </w:r>
          </w:p>
          <w:p w:rsidR="00AE1F1B" w:rsidRPr="001A4C0F" w:rsidRDefault="00AE1F1B" w:rsidP="001A4C0F">
            <w:pPr>
              <w:spacing w:line="252" w:lineRule="exact"/>
              <w:ind w:left="142" w:right="-20"/>
              <w:rPr>
                <w:rFonts w:ascii="Arial" w:eastAsia="Arial" w:hAnsi="Arial" w:cs="Arial"/>
                <w:spacing w:val="-4"/>
                <w:sz w:val="22"/>
                <w:szCs w:val="22"/>
              </w:rPr>
            </w:pPr>
          </w:p>
        </w:tc>
      </w:tr>
    </w:tbl>
    <w:p w:rsidR="009F4190" w:rsidRDefault="009F4190" w:rsidP="00092EDD">
      <w:pPr>
        <w:ind w:left="786"/>
        <w:jc w:val="center"/>
        <w:rPr>
          <w:rFonts w:ascii="Arial" w:hAnsi="Arial" w:cs="Arial"/>
          <w:b/>
          <w:sz w:val="28"/>
          <w:szCs w:val="28"/>
          <w:u w:val="single"/>
        </w:rPr>
        <w:sectPr w:rsidR="009F4190" w:rsidSect="00A25551">
          <w:headerReference w:type="default" r:id="rId13"/>
          <w:footerReference w:type="even" r:id="rId14"/>
          <w:footerReference w:type="default" r:id="rId15"/>
          <w:headerReference w:type="first" r:id="rId16"/>
          <w:footerReference w:type="first" r:id="rId17"/>
          <w:pgSz w:w="12240" w:h="15840"/>
          <w:pgMar w:top="1440" w:right="1134" w:bottom="1440" w:left="1134" w:header="709" w:footer="709" w:gutter="0"/>
          <w:cols w:space="708"/>
          <w:titlePg/>
          <w:docGrid w:linePitch="360"/>
        </w:sectPr>
      </w:pPr>
    </w:p>
    <w:p w:rsidR="001554C4" w:rsidRPr="0074148B" w:rsidRDefault="0074148B" w:rsidP="0074148B">
      <w:pPr>
        <w:jc w:val="center"/>
        <w:rPr>
          <w:rFonts w:ascii="Arial" w:eastAsia="Arial" w:hAnsi="Arial" w:cs="Arial"/>
          <w:b/>
          <w:sz w:val="28"/>
        </w:rPr>
      </w:pPr>
      <w:r w:rsidRPr="0074148B">
        <w:rPr>
          <w:rFonts w:ascii="Arial" w:eastAsia="Arial" w:hAnsi="Arial" w:cs="Arial"/>
          <w:b/>
          <w:sz w:val="28"/>
        </w:rPr>
        <w:t>SUBCONTRACTOR FEES AND CHARGES POLICY</w:t>
      </w:r>
    </w:p>
    <w:p w:rsidR="0074148B" w:rsidRPr="002941CE" w:rsidRDefault="0074148B">
      <w:pPr>
        <w:rPr>
          <w:rFonts w:ascii="Arial" w:hAnsi="Arial" w:cs="Arial"/>
          <w:sz w:val="22"/>
          <w:szCs w:val="22"/>
        </w:rPr>
      </w:pPr>
    </w:p>
    <w:p w:rsidR="00092EDD" w:rsidRPr="002941CE" w:rsidRDefault="009352B0" w:rsidP="008908E5">
      <w:pPr>
        <w:numPr>
          <w:ilvl w:val="0"/>
          <w:numId w:val="1"/>
        </w:numPr>
        <w:ind w:left="0" w:firstLine="0"/>
        <w:jc w:val="both"/>
        <w:rPr>
          <w:rFonts w:ascii="Arial" w:hAnsi="Arial" w:cs="Arial"/>
          <w:b/>
          <w:sz w:val="22"/>
          <w:szCs w:val="22"/>
          <w:u w:val="single"/>
        </w:rPr>
      </w:pPr>
      <w:r w:rsidRPr="002941CE">
        <w:rPr>
          <w:rFonts w:ascii="Arial" w:hAnsi="Arial" w:cs="Arial"/>
          <w:b/>
          <w:sz w:val="22"/>
          <w:szCs w:val="22"/>
          <w:u w:val="single"/>
        </w:rPr>
        <w:t>Introduction</w:t>
      </w:r>
      <w:r w:rsidR="001554C4" w:rsidRPr="002941CE">
        <w:rPr>
          <w:rFonts w:ascii="Arial" w:hAnsi="Arial" w:cs="Arial"/>
          <w:b/>
          <w:sz w:val="22"/>
          <w:szCs w:val="22"/>
          <w:u w:val="single"/>
        </w:rPr>
        <w:t xml:space="preserve"> </w:t>
      </w:r>
    </w:p>
    <w:p w:rsidR="00017719" w:rsidRPr="002941CE" w:rsidRDefault="00017719" w:rsidP="007369D4">
      <w:pPr>
        <w:jc w:val="both"/>
        <w:rPr>
          <w:rFonts w:ascii="Arial" w:hAnsi="Arial" w:cs="Arial"/>
          <w:sz w:val="22"/>
          <w:szCs w:val="22"/>
        </w:rPr>
      </w:pPr>
    </w:p>
    <w:p w:rsidR="00FA6063" w:rsidRDefault="000E16D4" w:rsidP="008908E5">
      <w:pPr>
        <w:pStyle w:val="ListParagraph"/>
        <w:numPr>
          <w:ilvl w:val="1"/>
          <w:numId w:val="7"/>
        </w:numPr>
        <w:rPr>
          <w:rFonts w:ascii="Arial" w:hAnsi="Arial" w:cs="Arial"/>
          <w:sz w:val="22"/>
          <w:szCs w:val="22"/>
        </w:rPr>
      </w:pPr>
      <w:r w:rsidRPr="002941CE">
        <w:rPr>
          <w:rFonts w:ascii="Arial" w:hAnsi="Arial" w:cs="Arial"/>
          <w:sz w:val="22"/>
          <w:szCs w:val="22"/>
        </w:rPr>
        <w:t>This policy outlines</w:t>
      </w:r>
      <w:r w:rsidR="009A496B" w:rsidRPr="002941CE">
        <w:rPr>
          <w:rFonts w:ascii="Arial" w:hAnsi="Arial" w:cs="Arial"/>
          <w:sz w:val="22"/>
          <w:szCs w:val="22"/>
        </w:rPr>
        <w:t xml:space="preserve"> </w:t>
      </w:r>
      <w:r w:rsidR="007530C3" w:rsidRPr="002941CE">
        <w:rPr>
          <w:rFonts w:ascii="Arial" w:hAnsi="Arial" w:cs="Arial"/>
          <w:sz w:val="22"/>
          <w:szCs w:val="22"/>
        </w:rPr>
        <w:t xml:space="preserve">Nelson and </w:t>
      </w:r>
      <w:proofErr w:type="spellStart"/>
      <w:r w:rsidR="007530C3" w:rsidRPr="002941CE">
        <w:rPr>
          <w:rFonts w:ascii="Arial" w:hAnsi="Arial" w:cs="Arial"/>
          <w:sz w:val="22"/>
          <w:szCs w:val="22"/>
        </w:rPr>
        <w:t>Colne</w:t>
      </w:r>
      <w:proofErr w:type="spellEnd"/>
      <w:r w:rsidR="007530C3" w:rsidRPr="002941CE">
        <w:rPr>
          <w:rFonts w:ascii="Arial" w:hAnsi="Arial" w:cs="Arial"/>
          <w:sz w:val="22"/>
          <w:szCs w:val="22"/>
        </w:rPr>
        <w:t xml:space="preserve"> College</w:t>
      </w:r>
      <w:r w:rsidR="0083619B">
        <w:rPr>
          <w:rFonts w:ascii="Arial" w:hAnsi="Arial" w:cs="Arial"/>
          <w:sz w:val="22"/>
          <w:szCs w:val="22"/>
        </w:rPr>
        <w:t xml:space="preserve"> </w:t>
      </w:r>
      <w:proofErr w:type="spellStart"/>
      <w:r w:rsidR="0083619B">
        <w:rPr>
          <w:rFonts w:ascii="Arial" w:hAnsi="Arial" w:cs="Arial"/>
          <w:sz w:val="22"/>
          <w:szCs w:val="22"/>
        </w:rPr>
        <w:t>Groups</w:t>
      </w:r>
      <w:r w:rsidRPr="002941CE">
        <w:rPr>
          <w:rFonts w:ascii="Arial" w:hAnsi="Arial" w:cs="Arial"/>
          <w:sz w:val="22"/>
          <w:szCs w:val="22"/>
        </w:rPr>
        <w:t>’s</w:t>
      </w:r>
      <w:proofErr w:type="spellEnd"/>
      <w:r w:rsidRPr="002941CE">
        <w:rPr>
          <w:rFonts w:ascii="Arial" w:hAnsi="Arial" w:cs="Arial"/>
          <w:sz w:val="22"/>
          <w:szCs w:val="22"/>
        </w:rPr>
        <w:t xml:space="preserve"> </w:t>
      </w:r>
      <w:r w:rsidR="00085F1F">
        <w:rPr>
          <w:rFonts w:ascii="Arial" w:hAnsi="Arial" w:cs="Arial"/>
          <w:sz w:val="22"/>
          <w:szCs w:val="22"/>
        </w:rPr>
        <w:t xml:space="preserve">(the Group) </w:t>
      </w:r>
      <w:r w:rsidR="009A496B" w:rsidRPr="002941CE">
        <w:rPr>
          <w:rFonts w:ascii="Arial" w:hAnsi="Arial" w:cs="Arial"/>
          <w:sz w:val="22"/>
          <w:szCs w:val="22"/>
        </w:rPr>
        <w:t xml:space="preserve">position in relation to </w:t>
      </w:r>
      <w:r w:rsidR="00370FEA" w:rsidRPr="002941CE">
        <w:rPr>
          <w:rFonts w:ascii="Arial" w:hAnsi="Arial" w:cs="Arial"/>
          <w:sz w:val="22"/>
          <w:szCs w:val="22"/>
        </w:rPr>
        <w:t xml:space="preserve">the </w:t>
      </w:r>
      <w:r w:rsidR="009A496B" w:rsidRPr="002941CE">
        <w:rPr>
          <w:rFonts w:ascii="Arial" w:hAnsi="Arial" w:cs="Arial"/>
          <w:sz w:val="22"/>
          <w:szCs w:val="22"/>
        </w:rPr>
        <w:t xml:space="preserve">subcontracting </w:t>
      </w:r>
      <w:r w:rsidR="00370FEA" w:rsidRPr="002941CE">
        <w:rPr>
          <w:rFonts w:ascii="Arial" w:hAnsi="Arial" w:cs="Arial"/>
          <w:sz w:val="22"/>
          <w:szCs w:val="22"/>
        </w:rPr>
        <w:t xml:space="preserve">of </w:t>
      </w:r>
      <w:r w:rsidR="009A496B" w:rsidRPr="002941CE">
        <w:rPr>
          <w:rFonts w:ascii="Arial" w:hAnsi="Arial" w:cs="Arial"/>
          <w:sz w:val="22"/>
          <w:szCs w:val="22"/>
        </w:rPr>
        <w:t xml:space="preserve">provision and funding to partnership </w:t>
      </w:r>
      <w:proofErr w:type="spellStart"/>
      <w:r w:rsidR="009A496B" w:rsidRPr="002941CE">
        <w:rPr>
          <w:rFonts w:ascii="Arial" w:hAnsi="Arial" w:cs="Arial"/>
          <w:sz w:val="22"/>
          <w:szCs w:val="22"/>
        </w:rPr>
        <w:t>organisations</w:t>
      </w:r>
      <w:proofErr w:type="spellEnd"/>
      <w:r w:rsidR="00762ED3" w:rsidRPr="002941CE">
        <w:rPr>
          <w:rFonts w:ascii="Arial" w:hAnsi="Arial" w:cs="Arial"/>
          <w:sz w:val="22"/>
          <w:szCs w:val="22"/>
        </w:rPr>
        <w:t xml:space="preserve"> and includes Apprenticeship delivery subcontracting</w:t>
      </w:r>
      <w:r w:rsidR="00FA6063">
        <w:rPr>
          <w:rFonts w:ascii="Arial" w:hAnsi="Arial" w:cs="Arial"/>
          <w:sz w:val="22"/>
          <w:szCs w:val="22"/>
        </w:rPr>
        <w:t xml:space="preserve"> in </w:t>
      </w:r>
      <w:r w:rsidR="002526E5">
        <w:rPr>
          <w:rFonts w:ascii="Arial" w:hAnsi="Arial" w:cs="Arial"/>
          <w:sz w:val="22"/>
          <w:szCs w:val="22"/>
        </w:rPr>
        <w:t>20</w:t>
      </w:r>
      <w:r w:rsidR="0083619B">
        <w:rPr>
          <w:rFonts w:ascii="Arial" w:hAnsi="Arial" w:cs="Arial"/>
          <w:sz w:val="22"/>
          <w:szCs w:val="22"/>
        </w:rPr>
        <w:t>2</w:t>
      </w:r>
      <w:r w:rsidR="003B1469">
        <w:rPr>
          <w:rFonts w:ascii="Arial" w:hAnsi="Arial" w:cs="Arial"/>
          <w:sz w:val="22"/>
          <w:szCs w:val="22"/>
        </w:rPr>
        <w:t>2</w:t>
      </w:r>
      <w:r w:rsidR="002526E5">
        <w:rPr>
          <w:rFonts w:ascii="Arial" w:hAnsi="Arial" w:cs="Arial"/>
          <w:sz w:val="22"/>
          <w:szCs w:val="22"/>
        </w:rPr>
        <w:t>/2</w:t>
      </w:r>
      <w:r w:rsidR="003B1469">
        <w:rPr>
          <w:rFonts w:ascii="Arial" w:hAnsi="Arial" w:cs="Arial"/>
          <w:sz w:val="22"/>
          <w:szCs w:val="22"/>
        </w:rPr>
        <w:t>3</w:t>
      </w:r>
      <w:r w:rsidR="009A496B" w:rsidRPr="002941CE">
        <w:rPr>
          <w:rFonts w:ascii="Arial" w:hAnsi="Arial" w:cs="Arial"/>
          <w:sz w:val="22"/>
          <w:szCs w:val="22"/>
        </w:rPr>
        <w:t>.</w:t>
      </w:r>
      <w:r w:rsidR="009352B0" w:rsidRPr="002941CE">
        <w:rPr>
          <w:rFonts w:ascii="Arial" w:hAnsi="Arial" w:cs="Arial"/>
          <w:sz w:val="22"/>
          <w:szCs w:val="22"/>
        </w:rPr>
        <w:t xml:space="preserve">  </w:t>
      </w:r>
    </w:p>
    <w:p w:rsidR="009352B0" w:rsidRDefault="009352B0" w:rsidP="002941CE">
      <w:pPr>
        <w:tabs>
          <w:tab w:val="left" w:pos="1849"/>
        </w:tabs>
        <w:rPr>
          <w:rFonts w:ascii="Arial" w:hAnsi="Arial" w:cs="Arial"/>
          <w:sz w:val="22"/>
          <w:szCs w:val="22"/>
        </w:rPr>
      </w:pPr>
    </w:p>
    <w:p w:rsidR="00704885" w:rsidRPr="002941CE" w:rsidRDefault="00704885" w:rsidP="002941CE">
      <w:pPr>
        <w:tabs>
          <w:tab w:val="left" w:pos="1849"/>
        </w:tabs>
        <w:rPr>
          <w:rFonts w:ascii="Arial" w:hAnsi="Arial" w:cs="Arial"/>
          <w:sz w:val="22"/>
          <w:szCs w:val="22"/>
        </w:rPr>
      </w:pPr>
    </w:p>
    <w:p w:rsidR="002941CE" w:rsidRPr="002941CE" w:rsidRDefault="002941CE" w:rsidP="008908E5">
      <w:pPr>
        <w:pStyle w:val="ListParagraph"/>
        <w:numPr>
          <w:ilvl w:val="0"/>
          <w:numId w:val="1"/>
        </w:numPr>
        <w:tabs>
          <w:tab w:val="left" w:pos="1849"/>
        </w:tabs>
        <w:ind w:hanging="720"/>
        <w:rPr>
          <w:rFonts w:ascii="Arial" w:hAnsi="Arial" w:cs="Arial"/>
          <w:b/>
          <w:sz w:val="22"/>
          <w:szCs w:val="22"/>
          <w:u w:val="single"/>
        </w:rPr>
      </w:pPr>
      <w:r w:rsidRPr="002941CE">
        <w:rPr>
          <w:rFonts w:ascii="Arial" w:hAnsi="Arial" w:cs="Arial"/>
          <w:b/>
          <w:sz w:val="22"/>
          <w:szCs w:val="22"/>
          <w:u w:val="single"/>
        </w:rPr>
        <w:t>Definition of Subcontracting</w:t>
      </w:r>
    </w:p>
    <w:p w:rsidR="002941CE" w:rsidRDefault="002941CE" w:rsidP="002941CE">
      <w:pPr>
        <w:tabs>
          <w:tab w:val="left" w:pos="1849"/>
        </w:tabs>
        <w:rPr>
          <w:rFonts w:ascii="Arial" w:hAnsi="Arial" w:cs="Arial"/>
          <w:sz w:val="22"/>
          <w:szCs w:val="22"/>
        </w:rPr>
      </w:pPr>
    </w:p>
    <w:p w:rsidR="00F76012" w:rsidRDefault="00FE4463" w:rsidP="00FE4463">
      <w:pPr>
        <w:ind w:left="709" w:hanging="709"/>
        <w:rPr>
          <w:rFonts w:ascii="Arial" w:hAnsi="Arial" w:cs="Arial"/>
          <w:sz w:val="22"/>
          <w:szCs w:val="22"/>
        </w:rPr>
      </w:pPr>
      <w:r>
        <w:rPr>
          <w:rFonts w:ascii="Arial" w:hAnsi="Arial" w:cs="Arial"/>
          <w:sz w:val="22"/>
          <w:szCs w:val="22"/>
        </w:rPr>
        <w:t>2.1</w:t>
      </w:r>
      <w:r>
        <w:rPr>
          <w:rFonts w:ascii="Arial" w:hAnsi="Arial" w:cs="Arial"/>
          <w:sz w:val="22"/>
          <w:szCs w:val="22"/>
        </w:rPr>
        <w:tab/>
      </w:r>
      <w:r w:rsidR="002941CE">
        <w:rPr>
          <w:rFonts w:ascii="Arial" w:hAnsi="Arial" w:cs="Arial"/>
          <w:sz w:val="22"/>
          <w:szCs w:val="22"/>
        </w:rPr>
        <w:t xml:space="preserve">The Education and Skills Funding Agency (ESFA) </w:t>
      </w:r>
      <w:r w:rsidR="002941CE" w:rsidRPr="002941CE">
        <w:rPr>
          <w:rFonts w:ascii="Arial" w:hAnsi="Arial" w:cs="Arial"/>
          <w:sz w:val="22"/>
          <w:szCs w:val="22"/>
        </w:rPr>
        <w:t>define</w:t>
      </w:r>
      <w:r w:rsidR="002941CE">
        <w:rPr>
          <w:rFonts w:ascii="Arial" w:hAnsi="Arial" w:cs="Arial"/>
          <w:sz w:val="22"/>
          <w:szCs w:val="22"/>
        </w:rPr>
        <w:t>s</w:t>
      </w:r>
      <w:r w:rsidR="002941CE" w:rsidRPr="002941CE">
        <w:rPr>
          <w:rFonts w:ascii="Arial" w:hAnsi="Arial" w:cs="Arial"/>
          <w:sz w:val="22"/>
          <w:szCs w:val="22"/>
        </w:rPr>
        <w:t xml:space="preserve"> a delivery subcontractor as a separate legal entity that has an agreement with </w:t>
      </w:r>
      <w:r w:rsidR="002941CE">
        <w:rPr>
          <w:rFonts w:ascii="Arial" w:hAnsi="Arial" w:cs="Arial"/>
          <w:sz w:val="22"/>
          <w:szCs w:val="22"/>
        </w:rPr>
        <w:t xml:space="preserve">the </w:t>
      </w:r>
      <w:r w:rsidR="00100DC7">
        <w:rPr>
          <w:rFonts w:ascii="Arial" w:hAnsi="Arial" w:cs="Arial"/>
          <w:sz w:val="22"/>
          <w:szCs w:val="22"/>
        </w:rPr>
        <w:t>Group</w:t>
      </w:r>
      <w:r w:rsidR="002941CE">
        <w:rPr>
          <w:rFonts w:ascii="Arial" w:hAnsi="Arial" w:cs="Arial"/>
          <w:sz w:val="22"/>
          <w:szCs w:val="22"/>
        </w:rPr>
        <w:t xml:space="preserve"> </w:t>
      </w:r>
      <w:r w:rsidR="002941CE" w:rsidRPr="002941CE">
        <w:rPr>
          <w:rFonts w:ascii="Arial" w:hAnsi="Arial" w:cs="Arial"/>
          <w:sz w:val="22"/>
          <w:szCs w:val="22"/>
        </w:rPr>
        <w:t xml:space="preserve">to deliver any element of the education and training </w:t>
      </w:r>
      <w:r w:rsidR="002941CE">
        <w:rPr>
          <w:rFonts w:ascii="Arial" w:hAnsi="Arial" w:cs="Arial"/>
          <w:sz w:val="22"/>
          <w:szCs w:val="22"/>
        </w:rPr>
        <w:t>that is funded via the ESFA</w:t>
      </w:r>
      <w:r w:rsidR="002941CE" w:rsidRPr="002941CE">
        <w:rPr>
          <w:rFonts w:ascii="Arial" w:hAnsi="Arial" w:cs="Arial"/>
          <w:sz w:val="22"/>
          <w:szCs w:val="22"/>
        </w:rPr>
        <w:t>.</w:t>
      </w:r>
      <w:r w:rsidR="002941CE">
        <w:rPr>
          <w:rFonts w:ascii="Arial" w:hAnsi="Arial" w:cs="Arial"/>
          <w:sz w:val="22"/>
          <w:szCs w:val="22"/>
        </w:rPr>
        <w:t xml:space="preserve">  </w:t>
      </w:r>
    </w:p>
    <w:p w:rsidR="00F76012" w:rsidRDefault="00F76012" w:rsidP="00FE4463">
      <w:pPr>
        <w:ind w:left="709" w:hanging="709"/>
        <w:rPr>
          <w:rFonts w:ascii="Arial" w:hAnsi="Arial" w:cs="Arial"/>
          <w:sz w:val="22"/>
          <w:szCs w:val="22"/>
        </w:rPr>
      </w:pPr>
    </w:p>
    <w:p w:rsidR="002941CE" w:rsidRPr="000937B7" w:rsidRDefault="00F76012" w:rsidP="00FE4463">
      <w:pPr>
        <w:ind w:left="709" w:hanging="709"/>
        <w:rPr>
          <w:rFonts w:ascii="Arial" w:hAnsi="Arial" w:cs="Arial"/>
          <w:sz w:val="22"/>
          <w:szCs w:val="22"/>
        </w:rPr>
      </w:pPr>
      <w:r>
        <w:rPr>
          <w:rFonts w:ascii="Arial" w:hAnsi="Arial" w:cs="Arial"/>
          <w:sz w:val="22"/>
          <w:szCs w:val="22"/>
        </w:rPr>
        <w:tab/>
      </w:r>
      <w:r w:rsidR="002941CE">
        <w:rPr>
          <w:rFonts w:ascii="Arial" w:hAnsi="Arial" w:cs="Arial"/>
          <w:sz w:val="22"/>
          <w:szCs w:val="22"/>
        </w:rPr>
        <w:t>The ESFA define a s</w:t>
      </w:r>
      <w:r w:rsidR="002941CE" w:rsidRPr="002941CE">
        <w:rPr>
          <w:rFonts w:ascii="Arial" w:hAnsi="Arial" w:cs="Arial"/>
          <w:sz w:val="22"/>
          <w:szCs w:val="22"/>
        </w:rPr>
        <w:t>eparate legal entity</w:t>
      </w:r>
      <w:r w:rsidR="002941CE">
        <w:rPr>
          <w:rFonts w:ascii="Arial" w:hAnsi="Arial" w:cs="Arial"/>
          <w:sz w:val="22"/>
          <w:szCs w:val="22"/>
        </w:rPr>
        <w:t xml:space="preserve"> as including </w:t>
      </w:r>
      <w:r w:rsidR="002941CE" w:rsidRPr="002941CE">
        <w:rPr>
          <w:rFonts w:ascii="Arial" w:hAnsi="Arial" w:cs="Arial"/>
          <w:sz w:val="22"/>
          <w:szCs w:val="22"/>
        </w:rPr>
        <w:t xml:space="preserve">companies in </w:t>
      </w:r>
      <w:r w:rsidR="002941CE">
        <w:rPr>
          <w:rFonts w:ascii="Arial" w:hAnsi="Arial" w:cs="Arial"/>
          <w:sz w:val="22"/>
          <w:szCs w:val="22"/>
        </w:rPr>
        <w:t>a</w:t>
      </w:r>
      <w:r w:rsidR="002941CE" w:rsidRPr="002941CE">
        <w:rPr>
          <w:rFonts w:ascii="Arial" w:hAnsi="Arial" w:cs="Arial"/>
          <w:sz w:val="22"/>
          <w:szCs w:val="22"/>
        </w:rPr>
        <w:t xml:space="preserve"> group, other associated companies and sole traders.</w:t>
      </w:r>
      <w:r w:rsidR="008506E4">
        <w:rPr>
          <w:rFonts w:ascii="Arial" w:hAnsi="Arial" w:cs="Arial"/>
          <w:sz w:val="22"/>
          <w:szCs w:val="22"/>
        </w:rPr>
        <w:t xml:space="preserve"> </w:t>
      </w:r>
      <w:r w:rsidR="002941CE" w:rsidRPr="002941CE">
        <w:rPr>
          <w:rFonts w:ascii="Arial" w:hAnsi="Arial" w:cs="Arial"/>
          <w:sz w:val="22"/>
          <w:szCs w:val="22"/>
        </w:rPr>
        <w:t xml:space="preserve"> It also includes individuals who are self-employed or supplied by an employment agency, unless those individuals are working under </w:t>
      </w:r>
      <w:r w:rsidR="002941CE">
        <w:rPr>
          <w:rFonts w:ascii="Arial" w:hAnsi="Arial" w:cs="Arial"/>
          <w:sz w:val="22"/>
          <w:szCs w:val="22"/>
        </w:rPr>
        <w:t xml:space="preserve">the direction and control of the </w:t>
      </w:r>
      <w:r w:rsidR="00100DC7">
        <w:rPr>
          <w:rFonts w:ascii="Arial" w:hAnsi="Arial" w:cs="Arial"/>
          <w:sz w:val="22"/>
          <w:szCs w:val="22"/>
        </w:rPr>
        <w:t>Group</w:t>
      </w:r>
      <w:r w:rsidR="002941CE">
        <w:rPr>
          <w:rFonts w:ascii="Arial" w:hAnsi="Arial" w:cs="Arial"/>
          <w:sz w:val="22"/>
          <w:szCs w:val="22"/>
        </w:rPr>
        <w:t xml:space="preserve">, in the same way </w:t>
      </w:r>
      <w:r w:rsidR="002941CE" w:rsidRPr="000937B7">
        <w:rPr>
          <w:rFonts w:ascii="Arial" w:hAnsi="Arial" w:cs="Arial"/>
          <w:sz w:val="22"/>
          <w:szCs w:val="22"/>
        </w:rPr>
        <w:t>as our own employees.</w:t>
      </w:r>
    </w:p>
    <w:p w:rsidR="002941CE" w:rsidRPr="003A720E" w:rsidRDefault="002941CE" w:rsidP="002941CE">
      <w:pPr>
        <w:tabs>
          <w:tab w:val="left" w:pos="1849"/>
        </w:tabs>
        <w:rPr>
          <w:rFonts w:ascii="Arial" w:hAnsi="Arial" w:cs="Arial"/>
          <w:sz w:val="22"/>
          <w:szCs w:val="22"/>
        </w:rPr>
      </w:pPr>
    </w:p>
    <w:p w:rsidR="00704885" w:rsidRPr="003A720E" w:rsidRDefault="00704885" w:rsidP="002941CE">
      <w:pPr>
        <w:tabs>
          <w:tab w:val="left" w:pos="1849"/>
        </w:tabs>
        <w:rPr>
          <w:rFonts w:ascii="Arial" w:hAnsi="Arial" w:cs="Arial"/>
          <w:sz w:val="22"/>
          <w:szCs w:val="22"/>
        </w:rPr>
      </w:pPr>
    </w:p>
    <w:p w:rsidR="00B726EA" w:rsidRPr="003A720E" w:rsidRDefault="00766FE0" w:rsidP="008908E5">
      <w:pPr>
        <w:pStyle w:val="ListParagraph"/>
        <w:numPr>
          <w:ilvl w:val="0"/>
          <w:numId w:val="1"/>
        </w:numPr>
        <w:ind w:hanging="720"/>
        <w:jc w:val="both"/>
        <w:rPr>
          <w:rFonts w:ascii="Arial" w:hAnsi="Arial" w:cs="Arial"/>
          <w:b/>
          <w:sz w:val="22"/>
          <w:szCs w:val="22"/>
          <w:u w:val="single"/>
        </w:rPr>
      </w:pPr>
      <w:r w:rsidRPr="003A720E">
        <w:rPr>
          <w:rFonts w:ascii="Arial" w:hAnsi="Arial" w:cs="Arial"/>
          <w:b/>
          <w:sz w:val="22"/>
          <w:szCs w:val="22"/>
          <w:u w:val="single"/>
        </w:rPr>
        <w:t>Background</w:t>
      </w:r>
    </w:p>
    <w:p w:rsidR="00B726EA" w:rsidRPr="003A720E" w:rsidRDefault="00B726EA" w:rsidP="003F667A">
      <w:pPr>
        <w:jc w:val="both"/>
        <w:rPr>
          <w:rFonts w:ascii="Arial" w:hAnsi="Arial" w:cs="Arial"/>
          <w:sz w:val="22"/>
          <w:szCs w:val="22"/>
        </w:rPr>
      </w:pPr>
    </w:p>
    <w:p w:rsidR="00085F1F" w:rsidRPr="00410F7E" w:rsidRDefault="002941CE" w:rsidP="003F667A">
      <w:pPr>
        <w:pStyle w:val="NormalWeb"/>
        <w:spacing w:before="0" w:beforeAutospacing="0" w:after="0" w:afterAutospacing="0"/>
        <w:ind w:left="720" w:hanging="720"/>
        <w:rPr>
          <w:rFonts w:ascii="Arial" w:hAnsi="Arial" w:cs="Arial"/>
          <w:sz w:val="22"/>
          <w:szCs w:val="22"/>
        </w:rPr>
      </w:pPr>
      <w:r w:rsidRPr="00410F7E">
        <w:rPr>
          <w:rFonts w:ascii="Arial" w:hAnsi="Arial" w:cs="Arial"/>
          <w:sz w:val="22"/>
          <w:szCs w:val="22"/>
        </w:rPr>
        <w:t>3</w:t>
      </w:r>
      <w:r w:rsidR="00B726EA" w:rsidRPr="00410F7E">
        <w:rPr>
          <w:rFonts w:ascii="Arial" w:hAnsi="Arial" w:cs="Arial"/>
          <w:sz w:val="22"/>
          <w:szCs w:val="22"/>
        </w:rPr>
        <w:t>.1</w:t>
      </w:r>
      <w:r w:rsidR="00B726EA" w:rsidRPr="00410F7E">
        <w:rPr>
          <w:rFonts w:ascii="Arial" w:hAnsi="Arial" w:cs="Arial"/>
          <w:sz w:val="22"/>
          <w:szCs w:val="22"/>
        </w:rPr>
        <w:tab/>
      </w:r>
      <w:r w:rsidR="00085F1F" w:rsidRPr="00410F7E">
        <w:rPr>
          <w:rFonts w:ascii="Arial" w:hAnsi="Arial" w:cs="Arial"/>
          <w:sz w:val="22"/>
          <w:szCs w:val="22"/>
        </w:rPr>
        <w:t>The Group has a clear purpose to secure excellent academic and career pathways for all learners, and to deliver education and training of the highest quality.</w:t>
      </w:r>
    </w:p>
    <w:p w:rsidR="003F667A" w:rsidRPr="00410F7E" w:rsidRDefault="003F667A" w:rsidP="003F667A">
      <w:pPr>
        <w:pStyle w:val="NormalWeb"/>
        <w:spacing w:before="0" w:beforeAutospacing="0" w:after="0" w:afterAutospacing="0"/>
        <w:ind w:left="720" w:hanging="720"/>
        <w:rPr>
          <w:rFonts w:ascii="Arial" w:hAnsi="Arial" w:cs="Arial"/>
          <w:sz w:val="22"/>
          <w:szCs w:val="22"/>
        </w:rPr>
      </w:pPr>
    </w:p>
    <w:p w:rsidR="00085F1F" w:rsidRPr="00410F7E" w:rsidRDefault="003F667A" w:rsidP="003F667A">
      <w:pPr>
        <w:pStyle w:val="NormalWeb"/>
        <w:shd w:val="clear" w:color="auto" w:fill="FFFFFF"/>
        <w:spacing w:before="0" w:beforeAutospacing="0" w:after="0" w:afterAutospacing="0"/>
        <w:ind w:left="720" w:hanging="720"/>
        <w:rPr>
          <w:rFonts w:ascii="Arial" w:hAnsi="Arial" w:cs="Arial"/>
          <w:sz w:val="22"/>
          <w:szCs w:val="22"/>
        </w:rPr>
      </w:pPr>
      <w:r w:rsidRPr="00410F7E">
        <w:rPr>
          <w:rFonts w:ascii="Arial" w:hAnsi="Arial" w:cs="Arial"/>
          <w:sz w:val="22"/>
          <w:szCs w:val="22"/>
        </w:rPr>
        <w:t>3.2</w:t>
      </w:r>
      <w:r w:rsidRPr="00410F7E">
        <w:rPr>
          <w:rFonts w:ascii="Arial" w:hAnsi="Arial" w:cs="Arial"/>
          <w:sz w:val="22"/>
          <w:szCs w:val="22"/>
        </w:rPr>
        <w:tab/>
      </w:r>
      <w:r w:rsidR="00085F1F" w:rsidRPr="00410F7E">
        <w:rPr>
          <w:rFonts w:ascii="Arial" w:hAnsi="Arial" w:cs="Arial"/>
          <w:sz w:val="22"/>
          <w:szCs w:val="22"/>
        </w:rPr>
        <w:t>The Group is establishing itself as a beacon for teaching and learning, with a national reputation and the capacity to support other colleges in their improvement journey.</w:t>
      </w:r>
      <w:r w:rsidR="00B21F2A">
        <w:rPr>
          <w:rFonts w:ascii="Arial" w:hAnsi="Arial" w:cs="Arial"/>
          <w:sz w:val="22"/>
          <w:szCs w:val="22"/>
        </w:rPr>
        <w:t xml:space="preserve"> </w:t>
      </w:r>
      <w:r w:rsidR="00085F1F" w:rsidRPr="00410F7E">
        <w:rPr>
          <w:rFonts w:ascii="Arial" w:hAnsi="Arial" w:cs="Arial"/>
          <w:sz w:val="22"/>
          <w:szCs w:val="22"/>
        </w:rPr>
        <w:t xml:space="preserve"> It is an innovative provider; a research hub for teaching and learning, with a clear ambition to deliver the best possible experience and outcomes for learners.</w:t>
      </w:r>
    </w:p>
    <w:p w:rsidR="003F667A" w:rsidRPr="00410F7E" w:rsidRDefault="003F667A" w:rsidP="003F667A">
      <w:pPr>
        <w:pStyle w:val="NormalWeb"/>
        <w:shd w:val="clear" w:color="auto" w:fill="FFFFFF"/>
        <w:spacing w:before="0" w:beforeAutospacing="0" w:after="0" w:afterAutospacing="0"/>
        <w:ind w:left="720" w:hanging="720"/>
        <w:rPr>
          <w:rFonts w:ascii="Arial" w:hAnsi="Arial" w:cs="Arial"/>
          <w:sz w:val="22"/>
          <w:szCs w:val="22"/>
        </w:rPr>
      </w:pPr>
    </w:p>
    <w:p w:rsidR="00085F1F" w:rsidRPr="00410F7E" w:rsidRDefault="00085F1F" w:rsidP="003F667A">
      <w:pPr>
        <w:pStyle w:val="NormalWeb"/>
        <w:numPr>
          <w:ilvl w:val="1"/>
          <w:numId w:val="17"/>
        </w:numPr>
        <w:shd w:val="clear" w:color="auto" w:fill="FFFFFF"/>
        <w:tabs>
          <w:tab w:val="left" w:pos="709"/>
        </w:tabs>
        <w:spacing w:before="0" w:beforeAutospacing="0" w:after="0" w:afterAutospacing="0"/>
        <w:ind w:left="709" w:hanging="709"/>
        <w:rPr>
          <w:rFonts w:ascii="Arial" w:hAnsi="Arial" w:cs="Arial"/>
          <w:sz w:val="22"/>
          <w:szCs w:val="22"/>
        </w:rPr>
      </w:pPr>
      <w:r w:rsidRPr="00410F7E">
        <w:rPr>
          <w:rFonts w:ascii="Arial" w:hAnsi="Arial" w:cs="Arial"/>
          <w:sz w:val="22"/>
          <w:szCs w:val="22"/>
        </w:rPr>
        <w:t>Collaboration is key to success, and meaningful and productive relationships with stakeholders and employers is key to the financial and educational success of the institution.</w:t>
      </w:r>
    </w:p>
    <w:p w:rsidR="003F667A" w:rsidRPr="00410F7E" w:rsidRDefault="003F667A" w:rsidP="003F667A">
      <w:pPr>
        <w:pStyle w:val="NormalWeb"/>
        <w:shd w:val="clear" w:color="auto" w:fill="FFFFFF"/>
        <w:spacing w:before="0" w:beforeAutospacing="0" w:after="0" w:afterAutospacing="0"/>
        <w:rPr>
          <w:rFonts w:ascii="Arial" w:hAnsi="Arial" w:cs="Arial"/>
          <w:sz w:val="22"/>
          <w:szCs w:val="22"/>
        </w:rPr>
      </w:pPr>
    </w:p>
    <w:p w:rsidR="00766FE0" w:rsidRPr="00410F7E" w:rsidRDefault="00085F1F" w:rsidP="003B1469">
      <w:pPr>
        <w:pStyle w:val="NormalWeb"/>
        <w:numPr>
          <w:ilvl w:val="1"/>
          <w:numId w:val="17"/>
        </w:numPr>
        <w:shd w:val="clear" w:color="auto" w:fill="FFFFFF"/>
        <w:spacing w:before="0" w:beforeAutospacing="0" w:after="0" w:afterAutospacing="0"/>
        <w:ind w:left="709" w:hanging="709"/>
        <w:rPr>
          <w:rFonts w:ascii="Arial" w:hAnsi="Arial" w:cs="Arial"/>
          <w:sz w:val="22"/>
          <w:szCs w:val="22"/>
        </w:rPr>
      </w:pPr>
      <w:r w:rsidRPr="00410F7E">
        <w:rPr>
          <w:rFonts w:ascii="Arial" w:hAnsi="Arial" w:cs="Arial"/>
          <w:sz w:val="22"/>
          <w:szCs w:val="22"/>
        </w:rPr>
        <w:t xml:space="preserve">Our </w:t>
      </w:r>
      <w:proofErr w:type="spellStart"/>
      <w:r w:rsidRPr="00410F7E">
        <w:rPr>
          <w:rFonts w:ascii="Arial" w:hAnsi="Arial" w:cs="Arial"/>
          <w:sz w:val="22"/>
          <w:szCs w:val="22"/>
        </w:rPr>
        <w:t>organisational</w:t>
      </w:r>
      <w:proofErr w:type="spellEnd"/>
      <w:r w:rsidRPr="00410F7E">
        <w:rPr>
          <w:rFonts w:ascii="Arial" w:hAnsi="Arial" w:cs="Arial"/>
          <w:sz w:val="22"/>
          <w:szCs w:val="22"/>
        </w:rPr>
        <w:t xml:space="preserve"> approach is to</w:t>
      </w:r>
      <w:r w:rsidR="003F667A" w:rsidRPr="00410F7E">
        <w:rPr>
          <w:rFonts w:ascii="Arial" w:hAnsi="Arial" w:cs="Arial"/>
          <w:sz w:val="22"/>
          <w:szCs w:val="22"/>
        </w:rPr>
        <w:t xml:space="preserve"> </w:t>
      </w:r>
      <w:r w:rsidRPr="00410F7E">
        <w:rPr>
          <w:rStyle w:val="Strong"/>
          <w:rFonts w:ascii="Arial" w:hAnsi="Arial" w:cs="Arial"/>
          <w:sz w:val="22"/>
          <w:szCs w:val="22"/>
        </w:rPr>
        <w:t>‘create the extraordinary’</w:t>
      </w:r>
      <w:r w:rsidR="003F667A" w:rsidRPr="00410F7E">
        <w:rPr>
          <w:rStyle w:val="Strong"/>
          <w:rFonts w:ascii="Arial" w:hAnsi="Arial" w:cs="Arial"/>
          <w:sz w:val="22"/>
          <w:szCs w:val="22"/>
        </w:rPr>
        <w:t xml:space="preserve"> </w:t>
      </w:r>
      <w:r w:rsidRPr="00410F7E">
        <w:rPr>
          <w:rFonts w:ascii="Arial" w:hAnsi="Arial" w:cs="Arial"/>
          <w:sz w:val="22"/>
          <w:szCs w:val="22"/>
        </w:rPr>
        <w:t xml:space="preserve">and we do this through phenomenal staff, outstanding teaching and learning and an </w:t>
      </w:r>
      <w:proofErr w:type="spellStart"/>
      <w:r w:rsidRPr="00410F7E">
        <w:rPr>
          <w:rFonts w:ascii="Arial" w:hAnsi="Arial" w:cs="Arial"/>
          <w:sz w:val="22"/>
          <w:szCs w:val="22"/>
        </w:rPr>
        <w:t>individualised</w:t>
      </w:r>
      <w:proofErr w:type="spellEnd"/>
      <w:r w:rsidRPr="00410F7E">
        <w:rPr>
          <w:rFonts w:ascii="Arial" w:hAnsi="Arial" w:cs="Arial"/>
          <w:sz w:val="22"/>
          <w:szCs w:val="22"/>
        </w:rPr>
        <w:t xml:space="preserve"> approach to each of our learners.</w:t>
      </w:r>
      <w:r w:rsidR="004B0D7E" w:rsidRPr="00410F7E">
        <w:rPr>
          <w:rFonts w:ascii="Arial" w:hAnsi="Arial" w:cs="Arial"/>
          <w:sz w:val="22"/>
          <w:szCs w:val="22"/>
        </w:rPr>
        <w:t xml:space="preserve">  </w:t>
      </w:r>
      <w:r w:rsidR="00766FE0" w:rsidRPr="00410F7E">
        <w:rPr>
          <w:rFonts w:ascii="Arial" w:hAnsi="Arial" w:cs="Arial"/>
          <w:sz w:val="22"/>
          <w:szCs w:val="22"/>
        </w:rPr>
        <w:t xml:space="preserve">Where the Group subcontracts with other </w:t>
      </w:r>
      <w:proofErr w:type="spellStart"/>
      <w:r w:rsidR="00766FE0" w:rsidRPr="00410F7E">
        <w:rPr>
          <w:rFonts w:ascii="Arial" w:hAnsi="Arial" w:cs="Arial"/>
          <w:sz w:val="22"/>
          <w:szCs w:val="22"/>
        </w:rPr>
        <w:t>organisations</w:t>
      </w:r>
      <w:proofErr w:type="spellEnd"/>
      <w:r w:rsidR="00766FE0" w:rsidRPr="00410F7E">
        <w:rPr>
          <w:rFonts w:ascii="Arial" w:hAnsi="Arial" w:cs="Arial"/>
          <w:sz w:val="22"/>
          <w:szCs w:val="22"/>
        </w:rPr>
        <w:t xml:space="preserve"> it will ensure that they support </w:t>
      </w:r>
      <w:r w:rsidR="004B0D7E" w:rsidRPr="00410F7E">
        <w:rPr>
          <w:rFonts w:ascii="Arial" w:hAnsi="Arial" w:cs="Arial"/>
          <w:sz w:val="22"/>
          <w:szCs w:val="22"/>
        </w:rPr>
        <w:t xml:space="preserve">our approach of creating the </w:t>
      </w:r>
      <w:proofErr w:type="spellStart"/>
      <w:r w:rsidR="004B0D7E" w:rsidRPr="00410F7E">
        <w:rPr>
          <w:rFonts w:ascii="Arial" w:hAnsi="Arial" w:cs="Arial"/>
          <w:sz w:val="22"/>
          <w:szCs w:val="22"/>
        </w:rPr>
        <w:t>extraordinatory</w:t>
      </w:r>
      <w:proofErr w:type="spellEnd"/>
      <w:r w:rsidR="004B0D7E" w:rsidRPr="00410F7E">
        <w:rPr>
          <w:rFonts w:ascii="Arial" w:hAnsi="Arial" w:cs="Arial"/>
          <w:sz w:val="22"/>
          <w:szCs w:val="22"/>
        </w:rPr>
        <w:t>.</w:t>
      </w:r>
    </w:p>
    <w:p w:rsidR="004B0D7E" w:rsidRPr="00410F7E" w:rsidRDefault="004B0D7E" w:rsidP="004B0D7E">
      <w:pPr>
        <w:pStyle w:val="ListParagraph"/>
        <w:rPr>
          <w:rFonts w:ascii="Arial" w:hAnsi="Arial" w:cs="Arial"/>
          <w:sz w:val="22"/>
          <w:szCs w:val="22"/>
        </w:rPr>
      </w:pPr>
    </w:p>
    <w:p w:rsidR="004B0D7E" w:rsidRPr="00410F7E" w:rsidRDefault="004B0D7E" w:rsidP="00766FE0">
      <w:pPr>
        <w:pStyle w:val="NormalWeb"/>
        <w:numPr>
          <w:ilvl w:val="1"/>
          <w:numId w:val="17"/>
        </w:numPr>
        <w:shd w:val="clear" w:color="auto" w:fill="FFFFFF"/>
        <w:spacing w:before="0" w:beforeAutospacing="0" w:after="0" w:afterAutospacing="0"/>
        <w:ind w:left="709" w:hanging="709"/>
        <w:rPr>
          <w:rFonts w:ascii="Arial" w:hAnsi="Arial" w:cs="Arial"/>
          <w:sz w:val="22"/>
          <w:szCs w:val="22"/>
        </w:rPr>
      </w:pPr>
      <w:r w:rsidRPr="00410F7E">
        <w:rPr>
          <w:rFonts w:ascii="Arial" w:hAnsi="Arial" w:cs="Arial"/>
          <w:sz w:val="22"/>
          <w:szCs w:val="22"/>
        </w:rPr>
        <w:t>The Group has established the following 4 priorities for 202</w:t>
      </w:r>
      <w:r w:rsidR="003B1469">
        <w:rPr>
          <w:rFonts w:ascii="Arial" w:hAnsi="Arial" w:cs="Arial"/>
          <w:sz w:val="22"/>
          <w:szCs w:val="22"/>
        </w:rPr>
        <w:t>2</w:t>
      </w:r>
      <w:r w:rsidRPr="00410F7E">
        <w:rPr>
          <w:rFonts w:ascii="Arial" w:hAnsi="Arial" w:cs="Arial"/>
          <w:sz w:val="22"/>
          <w:szCs w:val="22"/>
        </w:rPr>
        <w:t>/2</w:t>
      </w:r>
      <w:r w:rsidR="003B1469">
        <w:rPr>
          <w:rFonts w:ascii="Arial" w:hAnsi="Arial" w:cs="Arial"/>
          <w:sz w:val="22"/>
          <w:szCs w:val="22"/>
        </w:rPr>
        <w:t>3</w:t>
      </w:r>
      <w:r w:rsidRPr="00410F7E">
        <w:rPr>
          <w:rFonts w:ascii="Arial" w:hAnsi="Arial" w:cs="Arial"/>
          <w:sz w:val="22"/>
          <w:szCs w:val="22"/>
        </w:rPr>
        <w:t>.  The Group will ensure that any subcontracting arrangements support the achievement of these priorities.</w:t>
      </w:r>
    </w:p>
    <w:p w:rsidR="0025369E" w:rsidRPr="00410F7E" w:rsidRDefault="0025369E" w:rsidP="003F667A">
      <w:pPr>
        <w:pStyle w:val="NormalWeb"/>
        <w:shd w:val="clear" w:color="auto" w:fill="FFFFFF"/>
        <w:spacing w:before="0" w:beforeAutospacing="0" w:after="0" w:afterAutospacing="0"/>
        <w:rPr>
          <w:rFonts w:ascii="Arial" w:hAnsi="Arial" w:cs="Arial"/>
          <w:sz w:val="22"/>
          <w:szCs w:val="22"/>
        </w:rPr>
      </w:pPr>
    </w:p>
    <w:p w:rsidR="0025369E" w:rsidRPr="00410F7E" w:rsidRDefault="00D27513" w:rsidP="003F667A">
      <w:pPr>
        <w:pStyle w:val="ListParagraph"/>
        <w:numPr>
          <w:ilvl w:val="0"/>
          <w:numId w:val="16"/>
        </w:numPr>
        <w:contextualSpacing w:val="0"/>
        <w:rPr>
          <w:rFonts w:ascii="Arial" w:eastAsia="Times New Roman" w:hAnsi="Arial" w:cs="Arial"/>
          <w:sz w:val="22"/>
          <w:szCs w:val="22"/>
        </w:rPr>
      </w:pPr>
      <w:r>
        <w:rPr>
          <w:rFonts w:ascii="Arial" w:eastAsia="Times New Roman" w:hAnsi="Arial" w:cs="Arial"/>
          <w:sz w:val="22"/>
          <w:szCs w:val="22"/>
        </w:rPr>
        <w:t>D</w:t>
      </w:r>
      <w:r w:rsidR="0025369E" w:rsidRPr="00410F7E">
        <w:rPr>
          <w:rFonts w:ascii="Arial" w:eastAsia="Times New Roman" w:hAnsi="Arial" w:cs="Arial"/>
          <w:sz w:val="22"/>
          <w:szCs w:val="22"/>
        </w:rPr>
        <w:t xml:space="preserve">eliver </w:t>
      </w:r>
      <w:r>
        <w:rPr>
          <w:rFonts w:ascii="Arial" w:eastAsia="Times New Roman" w:hAnsi="Arial" w:cs="Arial"/>
          <w:sz w:val="22"/>
          <w:szCs w:val="22"/>
        </w:rPr>
        <w:t>r</w:t>
      </w:r>
      <w:r w:rsidR="0025369E" w:rsidRPr="00410F7E">
        <w:rPr>
          <w:rFonts w:ascii="Arial" w:eastAsia="Times New Roman" w:hAnsi="Arial" w:cs="Arial"/>
          <w:sz w:val="22"/>
          <w:szCs w:val="22"/>
        </w:rPr>
        <w:t xml:space="preserve">elevant, </w:t>
      </w:r>
      <w:r>
        <w:rPr>
          <w:rFonts w:ascii="Arial" w:eastAsia="Times New Roman" w:hAnsi="Arial" w:cs="Arial"/>
          <w:sz w:val="22"/>
          <w:szCs w:val="22"/>
        </w:rPr>
        <w:t>i</w:t>
      </w:r>
      <w:r w:rsidR="0025369E" w:rsidRPr="00410F7E">
        <w:rPr>
          <w:rFonts w:ascii="Arial" w:eastAsia="Times New Roman" w:hAnsi="Arial" w:cs="Arial"/>
          <w:sz w:val="22"/>
          <w:szCs w:val="22"/>
        </w:rPr>
        <w:t xml:space="preserve">mpactful, </w:t>
      </w:r>
      <w:r>
        <w:rPr>
          <w:rFonts w:ascii="Arial" w:eastAsia="Times New Roman" w:hAnsi="Arial" w:cs="Arial"/>
          <w:sz w:val="22"/>
          <w:szCs w:val="22"/>
        </w:rPr>
        <w:t>inclusive training.</w:t>
      </w:r>
    </w:p>
    <w:p w:rsidR="0025369E" w:rsidRPr="00410F7E" w:rsidRDefault="00D27513" w:rsidP="003F667A">
      <w:pPr>
        <w:pStyle w:val="ListParagraph"/>
        <w:numPr>
          <w:ilvl w:val="0"/>
          <w:numId w:val="16"/>
        </w:numPr>
        <w:contextualSpacing w:val="0"/>
        <w:rPr>
          <w:rFonts w:ascii="Arial" w:eastAsia="Times New Roman" w:hAnsi="Arial" w:cs="Arial"/>
          <w:sz w:val="22"/>
          <w:szCs w:val="22"/>
        </w:rPr>
      </w:pPr>
      <w:r>
        <w:rPr>
          <w:rFonts w:ascii="Arial" w:eastAsia="Times New Roman" w:hAnsi="Arial" w:cs="Arial"/>
          <w:sz w:val="22"/>
          <w:szCs w:val="22"/>
        </w:rPr>
        <w:t>Expand access to College programs to deliver greater impact for individuals and the economy.</w:t>
      </w:r>
    </w:p>
    <w:p w:rsidR="0025369E" w:rsidRPr="00410F7E" w:rsidRDefault="00D27513" w:rsidP="003F667A">
      <w:pPr>
        <w:pStyle w:val="ListParagraph"/>
        <w:numPr>
          <w:ilvl w:val="0"/>
          <w:numId w:val="16"/>
        </w:numPr>
        <w:contextualSpacing w:val="0"/>
        <w:rPr>
          <w:rFonts w:ascii="Arial" w:eastAsia="Times New Roman" w:hAnsi="Arial" w:cs="Arial"/>
          <w:sz w:val="22"/>
          <w:szCs w:val="22"/>
        </w:rPr>
      </w:pPr>
      <w:r>
        <w:rPr>
          <w:rFonts w:ascii="Arial" w:eastAsia="Times New Roman" w:hAnsi="Arial" w:cs="Arial"/>
          <w:sz w:val="22"/>
          <w:szCs w:val="22"/>
        </w:rPr>
        <w:t>Deliver efficient financial plans supporting continuous improvement.</w:t>
      </w:r>
    </w:p>
    <w:p w:rsidR="0025369E" w:rsidRPr="00410F7E" w:rsidRDefault="00A40F43" w:rsidP="003F667A">
      <w:pPr>
        <w:pStyle w:val="ListParagraph"/>
        <w:numPr>
          <w:ilvl w:val="0"/>
          <w:numId w:val="16"/>
        </w:numPr>
        <w:contextualSpacing w:val="0"/>
        <w:rPr>
          <w:rFonts w:ascii="Arial" w:eastAsia="Times New Roman" w:hAnsi="Arial" w:cs="Arial"/>
          <w:sz w:val="22"/>
          <w:szCs w:val="22"/>
        </w:rPr>
      </w:pPr>
      <w:r>
        <w:rPr>
          <w:rFonts w:ascii="Arial" w:eastAsia="Times New Roman" w:hAnsi="Arial" w:cs="Arial"/>
          <w:sz w:val="22"/>
          <w:szCs w:val="22"/>
        </w:rPr>
        <w:t>Sustain our ‘extraordinary’ values and culture.</w:t>
      </w:r>
    </w:p>
    <w:p w:rsidR="007A4212" w:rsidRDefault="007A4212" w:rsidP="004B0D7E">
      <w:pPr>
        <w:pStyle w:val="NormalWeb"/>
        <w:spacing w:before="0" w:beforeAutospacing="0" w:after="0" w:afterAutospacing="0"/>
        <w:rPr>
          <w:rFonts w:ascii="Arial" w:hAnsi="Arial" w:cs="Arial"/>
          <w:sz w:val="22"/>
          <w:szCs w:val="22"/>
        </w:rPr>
      </w:pPr>
    </w:p>
    <w:p w:rsidR="003A720E" w:rsidRDefault="003A720E">
      <w:pPr>
        <w:rPr>
          <w:rFonts w:ascii="Arial" w:hAnsi="Arial" w:cs="Arial"/>
          <w:sz w:val="22"/>
          <w:szCs w:val="22"/>
        </w:rPr>
      </w:pPr>
      <w:r>
        <w:rPr>
          <w:rFonts w:ascii="Arial" w:hAnsi="Arial" w:cs="Arial"/>
          <w:sz w:val="22"/>
          <w:szCs w:val="22"/>
        </w:rPr>
        <w:br w:type="page"/>
      </w:r>
    </w:p>
    <w:p w:rsidR="00704885" w:rsidRPr="002D0E2B" w:rsidRDefault="00704885" w:rsidP="007369D4">
      <w:pPr>
        <w:jc w:val="both"/>
        <w:rPr>
          <w:rFonts w:ascii="Arial" w:hAnsi="Arial" w:cs="Arial"/>
          <w:sz w:val="22"/>
          <w:szCs w:val="22"/>
        </w:rPr>
      </w:pPr>
    </w:p>
    <w:p w:rsidR="00092EDD" w:rsidRPr="002D0E2B" w:rsidRDefault="00092EDD" w:rsidP="008908E5">
      <w:pPr>
        <w:numPr>
          <w:ilvl w:val="0"/>
          <w:numId w:val="1"/>
        </w:numPr>
        <w:ind w:left="0" w:firstLine="0"/>
        <w:jc w:val="both"/>
        <w:rPr>
          <w:rFonts w:ascii="Arial" w:hAnsi="Arial" w:cs="Arial"/>
          <w:b/>
          <w:sz w:val="22"/>
          <w:szCs w:val="22"/>
          <w:u w:val="single"/>
        </w:rPr>
      </w:pPr>
      <w:r w:rsidRPr="002D0E2B">
        <w:rPr>
          <w:rFonts w:ascii="Arial" w:hAnsi="Arial" w:cs="Arial"/>
          <w:b/>
          <w:sz w:val="22"/>
          <w:szCs w:val="22"/>
          <w:u w:val="single"/>
        </w:rPr>
        <w:t>S</w:t>
      </w:r>
      <w:r w:rsidR="00E83BF3" w:rsidRPr="002D0E2B">
        <w:rPr>
          <w:rFonts w:ascii="Arial" w:hAnsi="Arial" w:cs="Arial"/>
          <w:b/>
          <w:sz w:val="22"/>
          <w:szCs w:val="22"/>
          <w:u w:val="single"/>
        </w:rPr>
        <w:t>cope</w:t>
      </w:r>
    </w:p>
    <w:p w:rsidR="00017719" w:rsidRPr="002D0E2B" w:rsidRDefault="00017719" w:rsidP="007369D4">
      <w:pPr>
        <w:jc w:val="both"/>
        <w:rPr>
          <w:rFonts w:ascii="Arial" w:hAnsi="Arial" w:cs="Arial"/>
          <w:sz w:val="22"/>
          <w:szCs w:val="22"/>
        </w:rPr>
      </w:pPr>
    </w:p>
    <w:p w:rsidR="009A496B" w:rsidRPr="002D0E2B" w:rsidRDefault="002941CE" w:rsidP="007369D4">
      <w:pPr>
        <w:pStyle w:val="Default"/>
        <w:ind w:left="720" w:hanging="720"/>
        <w:rPr>
          <w:sz w:val="22"/>
          <w:szCs w:val="22"/>
        </w:rPr>
      </w:pPr>
      <w:r>
        <w:rPr>
          <w:sz w:val="22"/>
          <w:szCs w:val="22"/>
        </w:rPr>
        <w:t>4</w:t>
      </w:r>
      <w:r w:rsidR="007369D4" w:rsidRPr="002D0E2B">
        <w:rPr>
          <w:sz w:val="22"/>
          <w:szCs w:val="22"/>
        </w:rPr>
        <w:t>.1</w:t>
      </w:r>
      <w:r w:rsidR="007369D4" w:rsidRPr="002D0E2B">
        <w:rPr>
          <w:sz w:val="22"/>
          <w:szCs w:val="22"/>
        </w:rPr>
        <w:tab/>
      </w:r>
      <w:r w:rsidR="009A496B" w:rsidRPr="002D0E2B">
        <w:rPr>
          <w:sz w:val="22"/>
          <w:szCs w:val="22"/>
        </w:rPr>
        <w:t xml:space="preserve">This policy details how </w:t>
      </w:r>
      <w:r w:rsidR="00B03C65">
        <w:rPr>
          <w:sz w:val="22"/>
          <w:szCs w:val="22"/>
        </w:rPr>
        <w:t>the Group</w:t>
      </w:r>
      <w:r w:rsidR="000252A1">
        <w:rPr>
          <w:sz w:val="22"/>
          <w:szCs w:val="22"/>
        </w:rPr>
        <w:t xml:space="preserve"> </w:t>
      </w:r>
      <w:r w:rsidR="009A496B" w:rsidRPr="002D0E2B">
        <w:rPr>
          <w:sz w:val="22"/>
          <w:szCs w:val="22"/>
        </w:rPr>
        <w:t>applies fees and charges to Subcontractors</w:t>
      </w:r>
      <w:r w:rsidR="00774057">
        <w:rPr>
          <w:sz w:val="22"/>
          <w:szCs w:val="22"/>
        </w:rPr>
        <w:t>.</w:t>
      </w:r>
    </w:p>
    <w:p w:rsidR="009A496B" w:rsidRPr="002D0E2B" w:rsidRDefault="009A496B" w:rsidP="007369D4">
      <w:pPr>
        <w:pStyle w:val="Default"/>
        <w:rPr>
          <w:sz w:val="22"/>
          <w:szCs w:val="22"/>
        </w:rPr>
      </w:pPr>
    </w:p>
    <w:p w:rsidR="009A496B" w:rsidRPr="002D0E2B" w:rsidRDefault="00774057" w:rsidP="007369D4">
      <w:pPr>
        <w:pStyle w:val="Default"/>
        <w:ind w:left="720" w:hanging="720"/>
        <w:rPr>
          <w:sz w:val="22"/>
          <w:szCs w:val="22"/>
        </w:rPr>
      </w:pPr>
      <w:r>
        <w:rPr>
          <w:sz w:val="22"/>
          <w:szCs w:val="22"/>
        </w:rPr>
        <w:t>4</w:t>
      </w:r>
      <w:r w:rsidR="009A496B" w:rsidRPr="002D0E2B">
        <w:rPr>
          <w:sz w:val="22"/>
          <w:szCs w:val="22"/>
        </w:rPr>
        <w:t xml:space="preserve">.2 </w:t>
      </w:r>
      <w:r w:rsidR="007369D4" w:rsidRPr="002D0E2B">
        <w:rPr>
          <w:sz w:val="22"/>
          <w:szCs w:val="22"/>
        </w:rPr>
        <w:tab/>
      </w:r>
      <w:r w:rsidR="009A496B" w:rsidRPr="002D0E2B">
        <w:rPr>
          <w:sz w:val="22"/>
          <w:szCs w:val="22"/>
        </w:rPr>
        <w:t xml:space="preserve">This policy indicates </w:t>
      </w:r>
      <w:r w:rsidR="00B03C65">
        <w:rPr>
          <w:sz w:val="22"/>
          <w:szCs w:val="22"/>
        </w:rPr>
        <w:t>the</w:t>
      </w:r>
      <w:r w:rsidR="000252A1">
        <w:rPr>
          <w:sz w:val="22"/>
          <w:szCs w:val="22"/>
        </w:rPr>
        <w:t xml:space="preserve"> Group</w:t>
      </w:r>
      <w:r w:rsidR="009A496B" w:rsidRPr="002D0E2B">
        <w:rPr>
          <w:sz w:val="22"/>
          <w:szCs w:val="22"/>
        </w:rPr>
        <w:t xml:space="preserve">’s Subcontractor Policy for the </w:t>
      </w:r>
      <w:r w:rsidR="002526E5">
        <w:rPr>
          <w:sz w:val="22"/>
          <w:szCs w:val="22"/>
        </w:rPr>
        <w:t>20</w:t>
      </w:r>
      <w:r w:rsidR="0083619B">
        <w:rPr>
          <w:sz w:val="22"/>
          <w:szCs w:val="22"/>
        </w:rPr>
        <w:t>2</w:t>
      </w:r>
      <w:r w:rsidR="003B1469">
        <w:rPr>
          <w:sz w:val="22"/>
          <w:szCs w:val="22"/>
        </w:rPr>
        <w:t>2</w:t>
      </w:r>
      <w:r w:rsidR="002526E5">
        <w:rPr>
          <w:sz w:val="22"/>
          <w:szCs w:val="22"/>
        </w:rPr>
        <w:t>/2</w:t>
      </w:r>
      <w:r w:rsidR="003B1469">
        <w:rPr>
          <w:sz w:val="22"/>
          <w:szCs w:val="22"/>
        </w:rPr>
        <w:t>3</w:t>
      </w:r>
      <w:r w:rsidR="009A496B" w:rsidRPr="002D0E2B">
        <w:rPr>
          <w:sz w:val="22"/>
          <w:szCs w:val="22"/>
        </w:rPr>
        <w:t xml:space="preserve"> academic year. </w:t>
      </w:r>
    </w:p>
    <w:p w:rsidR="009A496B" w:rsidRPr="002D0E2B" w:rsidRDefault="009A496B" w:rsidP="007369D4">
      <w:pPr>
        <w:pStyle w:val="Default"/>
        <w:rPr>
          <w:sz w:val="22"/>
          <w:szCs w:val="22"/>
        </w:rPr>
      </w:pPr>
    </w:p>
    <w:p w:rsidR="009A496B" w:rsidRPr="002D0E2B" w:rsidRDefault="00774057" w:rsidP="007369D4">
      <w:pPr>
        <w:pStyle w:val="Default"/>
        <w:ind w:left="720" w:hanging="720"/>
        <w:rPr>
          <w:sz w:val="22"/>
          <w:szCs w:val="22"/>
        </w:rPr>
      </w:pPr>
      <w:r>
        <w:rPr>
          <w:sz w:val="22"/>
          <w:szCs w:val="22"/>
        </w:rPr>
        <w:t>4</w:t>
      </w:r>
      <w:r w:rsidR="007369D4" w:rsidRPr="002D0E2B">
        <w:rPr>
          <w:sz w:val="22"/>
          <w:szCs w:val="22"/>
        </w:rPr>
        <w:t>.3</w:t>
      </w:r>
      <w:r w:rsidR="007369D4" w:rsidRPr="002D0E2B">
        <w:rPr>
          <w:sz w:val="22"/>
          <w:szCs w:val="22"/>
        </w:rPr>
        <w:tab/>
      </w:r>
      <w:r w:rsidR="009A496B" w:rsidRPr="002D0E2B">
        <w:rPr>
          <w:sz w:val="22"/>
          <w:szCs w:val="22"/>
        </w:rPr>
        <w:t xml:space="preserve">This policy is published in line with </w:t>
      </w:r>
      <w:r w:rsidR="00002684">
        <w:rPr>
          <w:sz w:val="22"/>
          <w:szCs w:val="22"/>
        </w:rPr>
        <w:t>ESFA</w:t>
      </w:r>
      <w:r w:rsidR="009A496B" w:rsidRPr="002D0E2B">
        <w:rPr>
          <w:sz w:val="22"/>
          <w:szCs w:val="22"/>
        </w:rPr>
        <w:t xml:space="preserve"> requirements stated in </w:t>
      </w:r>
      <w:r w:rsidR="00F13FFB" w:rsidRPr="002D0E2B">
        <w:rPr>
          <w:sz w:val="22"/>
          <w:szCs w:val="22"/>
        </w:rPr>
        <w:t xml:space="preserve">their latest published </w:t>
      </w:r>
      <w:r w:rsidR="001E6268">
        <w:rPr>
          <w:sz w:val="22"/>
          <w:szCs w:val="22"/>
        </w:rPr>
        <w:t xml:space="preserve">Subcontracting </w:t>
      </w:r>
      <w:r w:rsidR="009A496B" w:rsidRPr="00793851">
        <w:rPr>
          <w:sz w:val="22"/>
          <w:szCs w:val="22"/>
        </w:rPr>
        <w:t>Funding Rules</w:t>
      </w:r>
      <w:r w:rsidR="009A496B" w:rsidRPr="002D0E2B">
        <w:rPr>
          <w:sz w:val="22"/>
          <w:szCs w:val="22"/>
        </w:rPr>
        <w:t xml:space="preserve"> </w:t>
      </w:r>
      <w:r w:rsidR="002526E5">
        <w:rPr>
          <w:sz w:val="22"/>
          <w:szCs w:val="22"/>
        </w:rPr>
        <w:t>20</w:t>
      </w:r>
      <w:r w:rsidR="0083619B">
        <w:rPr>
          <w:sz w:val="22"/>
          <w:szCs w:val="22"/>
        </w:rPr>
        <w:t>2</w:t>
      </w:r>
      <w:r w:rsidR="008404E8">
        <w:rPr>
          <w:sz w:val="22"/>
          <w:szCs w:val="22"/>
        </w:rPr>
        <w:t>2</w:t>
      </w:r>
      <w:r w:rsidR="002526E5">
        <w:rPr>
          <w:sz w:val="22"/>
          <w:szCs w:val="22"/>
        </w:rPr>
        <w:t>/</w:t>
      </w:r>
      <w:r w:rsidR="0083619B">
        <w:rPr>
          <w:sz w:val="22"/>
          <w:szCs w:val="22"/>
        </w:rPr>
        <w:t>2</w:t>
      </w:r>
      <w:r w:rsidR="008404E8">
        <w:rPr>
          <w:sz w:val="22"/>
          <w:szCs w:val="22"/>
        </w:rPr>
        <w:t>3</w:t>
      </w:r>
      <w:r w:rsidR="009A496B" w:rsidRPr="002D0E2B">
        <w:rPr>
          <w:sz w:val="22"/>
          <w:szCs w:val="22"/>
        </w:rPr>
        <w:t xml:space="preserve">. </w:t>
      </w:r>
    </w:p>
    <w:p w:rsidR="001554C4" w:rsidRDefault="001554C4" w:rsidP="007369D4">
      <w:pPr>
        <w:jc w:val="both"/>
        <w:rPr>
          <w:rFonts w:ascii="Arial" w:hAnsi="Arial" w:cs="Arial"/>
          <w:sz w:val="22"/>
          <w:szCs w:val="22"/>
        </w:rPr>
      </w:pPr>
    </w:p>
    <w:p w:rsidR="00704885" w:rsidRPr="002D0E2B" w:rsidRDefault="00704885" w:rsidP="007369D4">
      <w:pPr>
        <w:jc w:val="both"/>
        <w:rPr>
          <w:rFonts w:ascii="Arial" w:hAnsi="Arial" w:cs="Arial"/>
          <w:sz w:val="22"/>
          <w:szCs w:val="22"/>
        </w:rPr>
      </w:pPr>
    </w:p>
    <w:p w:rsidR="00092EDD" w:rsidRPr="002D0E2B" w:rsidRDefault="00E83BF3" w:rsidP="008908E5">
      <w:pPr>
        <w:numPr>
          <w:ilvl w:val="0"/>
          <w:numId w:val="1"/>
        </w:numPr>
        <w:ind w:left="0" w:firstLine="0"/>
        <w:jc w:val="both"/>
        <w:rPr>
          <w:rFonts w:ascii="Arial" w:hAnsi="Arial" w:cs="Arial"/>
          <w:b/>
          <w:sz w:val="22"/>
          <w:szCs w:val="22"/>
          <w:u w:val="single"/>
        </w:rPr>
      </w:pPr>
      <w:r w:rsidRPr="002D0E2B">
        <w:rPr>
          <w:rFonts w:ascii="Arial" w:hAnsi="Arial" w:cs="Arial"/>
          <w:b/>
          <w:sz w:val="22"/>
          <w:szCs w:val="22"/>
          <w:u w:val="single"/>
        </w:rPr>
        <w:t>Rationale for Subcontracting</w:t>
      </w:r>
      <w:r w:rsidR="00092EDD" w:rsidRPr="002D0E2B">
        <w:rPr>
          <w:rFonts w:ascii="Arial" w:hAnsi="Arial" w:cs="Arial"/>
          <w:b/>
          <w:sz w:val="22"/>
          <w:szCs w:val="22"/>
          <w:u w:val="single"/>
        </w:rPr>
        <w:t xml:space="preserve"> </w:t>
      </w:r>
    </w:p>
    <w:p w:rsidR="00FB2A8E" w:rsidRPr="002D0E2B" w:rsidRDefault="00FB2A8E" w:rsidP="007369D4">
      <w:pPr>
        <w:pStyle w:val="Default"/>
        <w:rPr>
          <w:b/>
          <w:bCs/>
          <w:color w:val="FFFFFF"/>
          <w:sz w:val="22"/>
          <w:szCs w:val="22"/>
        </w:rPr>
      </w:pPr>
      <w:r w:rsidRPr="002D0E2B">
        <w:rPr>
          <w:b/>
          <w:bCs/>
          <w:color w:val="FFFFFF"/>
          <w:sz w:val="22"/>
          <w:szCs w:val="22"/>
        </w:rPr>
        <w:t>ETAIL</w:t>
      </w:r>
    </w:p>
    <w:p w:rsidR="00FB2A8E" w:rsidRPr="002D0E2B" w:rsidRDefault="00774057" w:rsidP="007369D4">
      <w:pPr>
        <w:pStyle w:val="Default"/>
        <w:ind w:left="720" w:hanging="720"/>
        <w:rPr>
          <w:bCs/>
          <w:sz w:val="22"/>
          <w:szCs w:val="22"/>
        </w:rPr>
      </w:pPr>
      <w:r>
        <w:rPr>
          <w:sz w:val="22"/>
          <w:szCs w:val="22"/>
        </w:rPr>
        <w:t>5</w:t>
      </w:r>
      <w:r w:rsidR="007369D4" w:rsidRPr="002D0E2B">
        <w:rPr>
          <w:sz w:val="22"/>
          <w:szCs w:val="22"/>
        </w:rPr>
        <w:t>.1</w:t>
      </w:r>
      <w:r w:rsidR="007369D4" w:rsidRPr="002D0E2B">
        <w:rPr>
          <w:sz w:val="22"/>
          <w:szCs w:val="22"/>
        </w:rPr>
        <w:tab/>
      </w:r>
      <w:r w:rsidR="004F1CE6">
        <w:rPr>
          <w:bCs/>
          <w:sz w:val="22"/>
          <w:szCs w:val="22"/>
        </w:rPr>
        <w:t>The</w:t>
      </w:r>
      <w:r w:rsidR="00FB2A8E" w:rsidRPr="002D0E2B">
        <w:rPr>
          <w:bCs/>
          <w:sz w:val="22"/>
          <w:szCs w:val="22"/>
        </w:rPr>
        <w:t xml:space="preserve"> </w:t>
      </w:r>
      <w:r w:rsidR="0021658B">
        <w:rPr>
          <w:bCs/>
          <w:sz w:val="22"/>
          <w:szCs w:val="22"/>
        </w:rPr>
        <w:t xml:space="preserve">Group </w:t>
      </w:r>
      <w:r w:rsidR="00FB2A8E" w:rsidRPr="002D0E2B">
        <w:rPr>
          <w:bCs/>
          <w:sz w:val="22"/>
          <w:szCs w:val="22"/>
        </w:rPr>
        <w:t xml:space="preserve">subcontracts provision in line with the </w:t>
      </w:r>
      <w:r w:rsidR="00002684">
        <w:rPr>
          <w:bCs/>
          <w:sz w:val="22"/>
          <w:szCs w:val="22"/>
        </w:rPr>
        <w:t>ESFA</w:t>
      </w:r>
      <w:r w:rsidR="00E83BF3" w:rsidRPr="002D0E2B">
        <w:rPr>
          <w:bCs/>
          <w:sz w:val="22"/>
          <w:szCs w:val="22"/>
        </w:rPr>
        <w:t xml:space="preserve">’s </w:t>
      </w:r>
      <w:r w:rsidR="00793851">
        <w:rPr>
          <w:sz w:val="22"/>
          <w:szCs w:val="22"/>
        </w:rPr>
        <w:t xml:space="preserve">Subcontracting </w:t>
      </w:r>
      <w:r w:rsidR="00FB2A8E" w:rsidRPr="00793851">
        <w:rPr>
          <w:bCs/>
          <w:sz w:val="22"/>
          <w:szCs w:val="22"/>
        </w:rPr>
        <w:t xml:space="preserve">Funding Rules </w:t>
      </w:r>
      <w:r w:rsidR="002526E5" w:rsidRPr="00793851">
        <w:rPr>
          <w:bCs/>
          <w:sz w:val="22"/>
          <w:szCs w:val="22"/>
        </w:rPr>
        <w:t>2</w:t>
      </w:r>
      <w:r w:rsidR="002526E5">
        <w:rPr>
          <w:bCs/>
          <w:sz w:val="22"/>
          <w:szCs w:val="22"/>
        </w:rPr>
        <w:t>0</w:t>
      </w:r>
      <w:r w:rsidR="003A6CCD">
        <w:rPr>
          <w:bCs/>
          <w:sz w:val="22"/>
          <w:szCs w:val="22"/>
        </w:rPr>
        <w:t>2</w:t>
      </w:r>
      <w:r w:rsidR="008404E8">
        <w:rPr>
          <w:bCs/>
          <w:sz w:val="22"/>
          <w:szCs w:val="22"/>
        </w:rPr>
        <w:t>2</w:t>
      </w:r>
      <w:r w:rsidR="002526E5">
        <w:rPr>
          <w:bCs/>
          <w:sz w:val="22"/>
          <w:szCs w:val="22"/>
        </w:rPr>
        <w:t>/2</w:t>
      </w:r>
      <w:r w:rsidR="008404E8">
        <w:rPr>
          <w:bCs/>
          <w:sz w:val="22"/>
          <w:szCs w:val="22"/>
        </w:rPr>
        <w:t>3</w:t>
      </w:r>
      <w:r w:rsidR="00FB2A8E" w:rsidRPr="002D0E2B">
        <w:rPr>
          <w:bCs/>
          <w:sz w:val="22"/>
          <w:szCs w:val="22"/>
        </w:rPr>
        <w:t>.</w:t>
      </w:r>
    </w:p>
    <w:p w:rsidR="00FB2A8E" w:rsidRPr="002D0E2B" w:rsidRDefault="00FB2A8E" w:rsidP="007369D4">
      <w:pPr>
        <w:pStyle w:val="Default"/>
        <w:rPr>
          <w:bCs/>
          <w:sz w:val="22"/>
          <w:szCs w:val="22"/>
        </w:rPr>
      </w:pPr>
    </w:p>
    <w:p w:rsidR="00FB2A8E" w:rsidRDefault="00774057" w:rsidP="00E83BF3">
      <w:pPr>
        <w:pStyle w:val="Default"/>
        <w:ind w:left="720" w:hanging="720"/>
        <w:rPr>
          <w:bCs/>
          <w:sz w:val="22"/>
          <w:szCs w:val="22"/>
        </w:rPr>
      </w:pPr>
      <w:r>
        <w:rPr>
          <w:bCs/>
          <w:sz w:val="22"/>
          <w:szCs w:val="22"/>
        </w:rPr>
        <w:t>5</w:t>
      </w:r>
      <w:r w:rsidR="00E83BF3" w:rsidRPr="002D0E2B">
        <w:rPr>
          <w:bCs/>
          <w:sz w:val="22"/>
          <w:szCs w:val="22"/>
        </w:rPr>
        <w:t>.2</w:t>
      </w:r>
      <w:r w:rsidR="007369D4" w:rsidRPr="002D0E2B">
        <w:rPr>
          <w:bCs/>
          <w:sz w:val="22"/>
          <w:szCs w:val="22"/>
        </w:rPr>
        <w:tab/>
      </w:r>
      <w:r w:rsidR="00FB2A8E" w:rsidRPr="002D0E2B">
        <w:rPr>
          <w:bCs/>
          <w:sz w:val="22"/>
          <w:szCs w:val="22"/>
        </w:rPr>
        <w:t xml:space="preserve">Indicative reasons for </w:t>
      </w:r>
      <w:r w:rsidR="004F1CE6">
        <w:rPr>
          <w:bCs/>
          <w:sz w:val="22"/>
          <w:szCs w:val="22"/>
        </w:rPr>
        <w:t>the</w:t>
      </w:r>
      <w:r w:rsidR="00E83BF3" w:rsidRPr="002D0E2B">
        <w:rPr>
          <w:bCs/>
          <w:sz w:val="22"/>
          <w:szCs w:val="22"/>
        </w:rPr>
        <w:t xml:space="preserve"> </w:t>
      </w:r>
      <w:r w:rsidR="00F76D88">
        <w:rPr>
          <w:bCs/>
          <w:sz w:val="22"/>
          <w:szCs w:val="22"/>
        </w:rPr>
        <w:t xml:space="preserve">Group </w:t>
      </w:r>
      <w:r w:rsidR="006E2965" w:rsidRPr="002D0E2B">
        <w:rPr>
          <w:bCs/>
          <w:sz w:val="22"/>
          <w:szCs w:val="22"/>
        </w:rPr>
        <w:t>subcontracting</w:t>
      </w:r>
      <w:r w:rsidR="00FB2A8E" w:rsidRPr="002D0E2B">
        <w:rPr>
          <w:bCs/>
          <w:sz w:val="22"/>
          <w:szCs w:val="22"/>
        </w:rPr>
        <w:t xml:space="preserve"> provision to partners include</w:t>
      </w:r>
      <w:r w:rsidR="00135903">
        <w:rPr>
          <w:bCs/>
          <w:sz w:val="22"/>
          <w:szCs w:val="22"/>
        </w:rPr>
        <w:t xml:space="preserve"> the following, </w:t>
      </w:r>
      <w:r w:rsidR="000E3C05">
        <w:rPr>
          <w:bCs/>
          <w:sz w:val="22"/>
          <w:szCs w:val="22"/>
        </w:rPr>
        <w:t>with each</w:t>
      </w:r>
      <w:r w:rsidR="00135903">
        <w:rPr>
          <w:bCs/>
          <w:sz w:val="22"/>
          <w:szCs w:val="22"/>
        </w:rPr>
        <w:t xml:space="preserve"> </w:t>
      </w:r>
      <w:r w:rsidR="000E3C05">
        <w:rPr>
          <w:bCs/>
          <w:sz w:val="22"/>
          <w:szCs w:val="22"/>
        </w:rPr>
        <w:t xml:space="preserve">Subcontractor’s </w:t>
      </w:r>
      <w:r w:rsidR="00135903">
        <w:rPr>
          <w:bCs/>
          <w:sz w:val="22"/>
          <w:szCs w:val="22"/>
        </w:rPr>
        <w:t xml:space="preserve">Service Level Agreement </w:t>
      </w:r>
      <w:r w:rsidR="000E3C05">
        <w:rPr>
          <w:bCs/>
          <w:sz w:val="22"/>
          <w:szCs w:val="22"/>
        </w:rPr>
        <w:t xml:space="preserve">clearly identifying </w:t>
      </w:r>
      <w:r w:rsidR="00135903">
        <w:rPr>
          <w:bCs/>
          <w:sz w:val="22"/>
          <w:szCs w:val="22"/>
        </w:rPr>
        <w:t xml:space="preserve">the </w:t>
      </w:r>
      <w:r w:rsidR="004F1CE6">
        <w:rPr>
          <w:bCs/>
          <w:sz w:val="22"/>
          <w:szCs w:val="22"/>
        </w:rPr>
        <w:t>Group</w:t>
      </w:r>
      <w:r w:rsidR="00135903">
        <w:rPr>
          <w:bCs/>
          <w:sz w:val="22"/>
          <w:szCs w:val="22"/>
        </w:rPr>
        <w:t>’s reasoning for entering into a Subcontract arrangement.</w:t>
      </w:r>
    </w:p>
    <w:p w:rsidR="00135903" w:rsidRPr="002D0E2B" w:rsidRDefault="00135903" w:rsidP="00E83BF3">
      <w:pPr>
        <w:pStyle w:val="Default"/>
        <w:ind w:left="720" w:hanging="720"/>
        <w:rPr>
          <w:bCs/>
          <w:sz w:val="22"/>
          <w:szCs w:val="22"/>
        </w:rPr>
      </w:pPr>
    </w:p>
    <w:p w:rsidR="00723FBB" w:rsidRPr="00723FBB" w:rsidRDefault="003C60D3" w:rsidP="008908E5">
      <w:pPr>
        <w:pStyle w:val="Default"/>
        <w:numPr>
          <w:ilvl w:val="0"/>
          <w:numId w:val="3"/>
        </w:numPr>
        <w:rPr>
          <w:bCs/>
          <w:sz w:val="22"/>
          <w:szCs w:val="22"/>
        </w:rPr>
      </w:pPr>
      <w:r w:rsidRPr="00793851">
        <w:rPr>
          <w:sz w:val="22"/>
          <w:szCs w:val="22"/>
        </w:rPr>
        <w:t>Enhance the opportunities available to learners.</w:t>
      </w:r>
      <w:r w:rsidR="00723FBB">
        <w:rPr>
          <w:sz w:val="22"/>
          <w:szCs w:val="22"/>
        </w:rPr>
        <w:t xml:space="preserve"> </w:t>
      </w:r>
    </w:p>
    <w:p w:rsidR="00FB2A8E" w:rsidRPr="00793851" w:rsidRDefault="003C60D3" w:rsidP="008908E5">
      <w:pPr>
        <w:pStyle w:val="Default"/>
        <w:numPr>
          <w:ilvl w:val="0"/>
          <w:numId w:val="3"/>
        </w:numPr>
        <w:rPr>
          <w:bCs/>
          <w:sz w:val="22"/>
          <w:szCs w:val="22"/>
        </w:rPr>
      </w:pPr>
      <w:r w:rsidRPr="00793851">
        <w:rPr>
          <w:sz w:val="22"/>
          <w:szCs w:val="22"/>
        </w:rPr>
        <w:t>Fill gaps in niche or expert provision or provide better access to facilities.</w:t>
      </w:r>
    </w:p>
    <w:p w:rsidR="003C60D3" w:rsidRPr="00793851" w:rsidRDefault="003C60D3" w:rsidP="003C60D3">
      <w:pPr>
        <w:pStyle w:val="Default"/>
        <w:numPr>
          <w:ilvl w:val="0"/>
          <w:numId w:val="3"/>
        </w:numPr>
        <w:rPr>
          <w:bCs/>
          <w:sz w:val="22"/>
          <w:szCs w:val="22"/>
        </w:rPr>
      </w:pPr>
      <w:r w:rsidRPr="00793851">
        <w:rPr>
          <w:sz w:val="22"/>
          <w:szCs w:val="22"/>
        </w:rPr>
        <w:t>Support individuals who share protected characteristics, where there might otherwise be gaps.</w:t>
      </w:r>
    </w:p>
    <w:p w:rsidR="003C60D3" w:rsidRPr="00793851" w:rsidRDefault="003C60D3" w:rsidP="008908E5">
      <w:pPr>
        <w:pStyle w:val="Default"/>
        <w:numPr>
          <w:ilvl w:val="0"/>
          <w:numId w:val="3"/>
        </w:numPr>
        <w:rPr>
          <w:bCs/>
          <w:sz w:val="22"/>
          <w:szCs w:val="22"/>
        </w:rPr>
      </w:pPr>
      <w:r w:rsidRPr="00793851">
        <w:rPr>
          <w:sz w:val="22"/>
          <w:szCs w:val="22"/>
        </w:rPr>
        <w:t xml:space="preserve">Support better geographical access for learners. </w:t>
      </w:r>
    </w:p>
    <w:p w:rsidR="003C60D3" w:rsidRPr="00793851" w:rsidRDefault="003C60D3" w:rsidP="008908E5">
      <w:pPr>
        <w:pStyle w:val="Default"/>
        <w:numPr>
          <w:ilvl w:val="0"/>
          <w:numId w:val="3"/>
        </w:numPr>
        <w:rPr>
          <w:bCs/>
          <w:sz w:val="22"/>
          <w:szCs w:val="22"/>
        </w:rPr>
      </w:pPr>
      <w:r w:rsidRPr="00793851">
        <w:rPr>
          <w:sz w:val="22"/>
          <w:szCs w:val="22"/>
        </w:rPr>
        <w:t xml:space="preserve">Support an entry point for disadvantaged groups. </w:t>
      </w:r>
    </w:p>
    <w:p w:rsidR="003C60D3" w:rsidRPr="00793851" w:rsidRDefault="003C60D3" w:rsidP="003C60D3">
      <w:pPr>
        <w:pStyle w:val="Default"/>
        <w:numPr>
          <w:ilvl w:val="0"/>
          <w:numId w:val="3"/>
        </w:numPr>
        <w:rPr>
          <w:bCs/>
          <w:sz w:val="22"/>
          <w:szCs w:val="22"/>
        </w:rPr>
      </w:pPr>
      <w:r w:rsidRPr="00793851">
        <w:rPr>
          <w:bCs/>
          <w:sz w:val="22"/>
          <w:szCs w:val="22"/>
        </w:rPr>
        <w:t>Capacity building both organisations, resources and provision to respond to identified need.</w:t>
      </w:r>
    </w:p>
    <w:p w:rsidR="00FB2A8E" w:rsidRPr="002D0E2B" w:rsidRDefault="00FB2A8E" w:rsidP="008908E5">
      <w:pPr>
        <w:pStyle w:val="Default"/>
        <w:numPr>
          <w:ilvl w:val="0"/>
          <w:numId w:val="3"/>
        </w:numPr>
        <w:rPr>
          <w:bCs/>
          <w:sz w:val="22"/>
          <w:szCs w:val="22"/>
        </w:rPr>
      </w:pPr>
      <w:r w:rsidRPr="002D0E2B">
        <w:rPr>
          <w:bCs/>
          <w:sz w:val="22"/>
          <w:szCs w:val="22"/>
        </w:rPr>
        <w:t>Widening participation e.g. the offer of provision in a geographical area in which demand exceeds supply</w:t>
      </w:r>
      <w:r w:rsidR="00762ED3" w:rsidRPr="002D0E2B">
        <w:rPr>
          <w:bCs/>
          <w:sz w:val="22"/>
          <w:szCs w:val="22"/>
        </w:rPr>
        <w:t>.</w:t>
      </w:r>
    </w:p>
    <w:p w:rsidR="00FB2A8E" w:rsidRPr="002D0E2B" w:rsidRDefault="00FB2A8E" w:rsidP="008908E5">
      <w:pPr>
        <w:pStyle w:val="Default"/>
        <w:numPr>
          <w:ilvl w:val="0"/>
          <w:numId w:val="3"/>
        </w:numPr>
        <w:rPr>
          <w:bCs/>
          <w:sz w:val="22"/>
          <w:szCs w:val="22"/>
        </w:rPr>
      </w:pPr>
      <w:r w:rsidRPr="002D0E2B">
        <w:rPr>
          <w:bCs/>
          <w:sz w:val="22"/>
          <w:szCs w:val="22"/>
        </w:rPr>
        <w:t>To contract expert teaching and resources in a cost effective manner</w:t>
      </w:r>
      <w:r w:rsidR="00762ED3" w:rsidRPr="002D0E2B">
        <w:rPr>
          <w:bCs/>
          <w:sz w:val="22"/>
          <w:szCs w:val="22"/>
        </w:rPr>
        <w:t>.</w:t>
      </w:r>
    </w:p>
    <w:p w:rsidR="00FB2A8E" w:rsidRPr="002D0E2B" w:rsidRDefault="00FB2A8E" w:rsidP="008908E5">
      <w:pPr>
        <w:pStyle w:val="Default"/>
        <w:numPr>
          <w:ilvl w:val="0"/>
          <w:numId w:val="3"/>
        </w:numPr>
        <w:rPr>
          <w:bCs/>
          <w:sz w:val="22"/>
          <w:szCs w:val="22"/>
        </w:rPr>
      </w:pPr>
      <w:r w:rsidRPr="002D0E2B">
        <w:rPr>
          <w:bCs/>
          <w:sz w:val="22"/>
          <w:szCs w:val="22"/>
        </w:rPr>
        <w:t xml:space="preserve">To deliver provision which is not currently part of the </w:t>
      </w:r>
      <w:r w:rsidR="00100DC7">
        <w:rPr>
          <w:bCs/>
          <w:sz w:val="22"/>
          <w:szCs w:val="22"/>
        </w:rPr>
        <w:t>Group</w:t>
      </w:r>
      <w:r w:rsidRPr="002D0E2B">
        <w:rPr>
          <w:bCs/>
          <w:sz w:val="22"/>
          <w:szCs w:val="22"/>
        </w:rPr>
        <w:t>’s existing teaching or materials resource</w:t>
      </w:r>
      <w:r w:rsidR="00762ED3" w:rsidRPr="002D0E2B">
        <w:rPr>
          <w:bCs/>
          <w:sz w:val="22"/>
          <w:szCs w:val="22"/>
        </w:rPr>
        <w:t>.</w:t>
      </w:r>
    </w:p>
    <w:p w:rsidR="00FB2A8E" w:rsidRPr="002D0E2B" w:rsidRDefault="00FB2A8E" w:rsidP="008908E5">
      <w:pPr>
        <w:pStyle w:val="Default"/>
        <w:numPr>
          <w:ilvl w:val="0"/>
          <w:numId w:val="3"/>
        </w:numPr>
        <w:rPr>
          <w:bCs/>
          <w:sz w:val="22"/>
          <w:szCs w:val="22"/>
        </w:rPr>
      </w:pPr>
      <w:r w:rsidRPr="002D0E2B">
        <w:rPr>
          <w:bCs/>
          <w:sz w:val="22"/>
          <w:szCs w:val="22"/>
        </w:rPr>
        <w:t xml:space="preserve">To deliver provision which engages hard-to-reach learners (e.g. </w:t>
      </w:r>
      <w:r w:rsidR="00DF0785" w:rsidRPr="002D0E2B">
        <w:rPr>
          <w:bCs/>
          <w:sz w:val="22"/>
          <w:szCs w:val="22"/>
        </w:rPr>
        <w:t xml:space="preserve">Not in </w:t>
      </w:r>
      <w:proofErr w:type="gramStart"/>
      <w:r w:rsidR="00DF0785" w:rsidRPr="002D0E2B">
        <w:rPr>
          <w:bCs/>
          <w:sz w:val="22"/>
          <w:szCs w:val="22"/>
        </w:rPr>
        <w:t>Employment ,</w:t>
      </w:r>
      <w:proofErr w:type="gramEnd"/>
      <w:r w:rsidR="00DF0785" w:rsidRPr="002D0E2B">
        <w:rPr>
          <w:bCs/>
          <w:sz w:val="22"/>
          <w:szCs w:val="22"/>
        </w:rPr>
        <w:t xml:space="preserve"> Education or Training - </w:t>
      </w:r>
      <w:r w:rsidRPr="002D0E2B">
        <w:rPr>
          <w:bCs/>
          <w:sz w:val="22"/>
          <w:szCs w:val="22"/>
        </w:rPr>
        <w:t xml:space="preserve">NEETs) with the ultimate aim of progression into mainstream </w:t>
      </w:r>
      <w:r w:rsidR="00100DC7">
        <w:rPr>
          <w:bCs/>
          <w:sz w:val="22"/>
          <w:szCs w:val="22"/>
        </w:rPr>
        <w:t>c</w:t>
      </w:r>
      <w:r w:rsidRPr="002D0E2B">
        <w:rPr>
          <w:bCs/>
          <w:sz w:val="22"/>
          <w:szCs w:val="22"/>
        </w:rPr>
        <w:t>ollege provision</w:t>
      </w:r>
      <w:r w:rsidR="00762ED3" w:rsidRPr="002D0E2B">
        <w:rPr>
          <w:bCs/>
          <w:sz w:val="22"/>
          <w:szCs w:val="22"/>
        </w:rPr>
        <w:t>.</w:t>
      </w:r>
    </w:p>
    <w:p w:rsidR="00FB2A8E" w:rsidRPr="002D0E2B" w:rsidRDefault="00FB2A8E" w:rsidP="008908E5">
      <w:pPr>
        <w:pStyle w:val="Default"/>
        <w:numPr>
          <w:ilvl w:val="0"/>
          <w:numId w:val="3"/>
        </w:numPr>
        <w:rPr>
          <w:bCs/>
          <w:sz w:val="22"/>
          <w:szCs w:val="22"/>
        </w:rPr>
      </w:pPr>
      <w:r w:rsidRPr="002D0E2B">
        <w:rPr>
          <w:bCs/>
          <w:sz w:val="22"/>
          <w:szCs w:val="22"/>
        </w:rPr>
        <w:t xml:space="preserve">Widen the range and scope of provision offered by the </w:t>
      </w:r>
      <w:r w:rsidR="00100DC7">
        <w:rPr>
          <w:bCs/>
          <w:sz w:val="22"/>
          <w:szCs w:val="22"/>
        </w:rPr>
        <w:t>Group</w:t>
      </w:r>
      <w:r w:rsidRPr="002D0E2B">
        <w:rPr>
          <w:bCs/>
          <w:sz w:val="22"/>
          <w:szCs w:val="22"/>
        </w:rPr>
        <w:t xml:space="preserve"> in terms of engagement, retention and progression opportunities</w:t>
      </w:r>
      <w:r w:rsidR="00762ED3" w:rsidRPr="002D0E2B">
        <w:rPr>
          <w:bCs/>
          <w:sz w:val="22"/>
          <w:szCs w:val="22"/>
        </w:rPr>
        <w:t>.</w:t>
      </w:r>
    </w:p>
    <w:p w:rsidR="00FB2A8E" w:rsidRPr="002D0E2B" w:rsidRDefault="00FB2A8E" w:rsidP="008908E5">
      <w:pPr>
        <w:pStyle w:val="Default"/>
        <w:numPr>
          <w:ilvl w:val="0"/>
          <w:numId w:val="3"/>
        </w:numPr>
        <w:rPr>
          <w:bCs/>
          <w:sz w:val="22"/>
          <w:szCs w:val="22"/>
        </w:rPr>
      </w:pPr>
      <w:r w:rsidRPr="002D0E2B">
        <w:rPr>
          <w:bCs/>
          <w:sz w:val="22"/>
          <w:szCs w:val="22"/>
        </w:rPr>
        <w:t xml:space="preserve">Increase mutual referral opportunities between the </w:t>
      </w:r>
      <w:r w:rsidR="00100DC7">
        <w:rPr>
          <w:bCs/>
          <w:sz w:val="22"/>
          <w:szCs w:val="22"/>
        </w:rPr>
        <w:t>Group</w:t>
      </w:r>
      <w:r w:rsidRPr="002D0E2B">
        <w:rPr>
          <w:bCs/>
          <w:sz w:val="22"/>
          <w:szCs w:val="22"/>
        </w:rPr>
        <w:t xml:space="preserve"> and its Subcontractor</w:t>
      </w:r>
      <w:r w:rsidR="00762ED3" w:rsidRPr="002D0E2B">
        <w:rPr>
          <w:bCs/>
          <w:sz w:val="22"/>
          <w:szCs w:val="22"/>
        </w:rPr>
        <w:t>.</w:t>
      </w:r>
    </w:p>
    <w:p w:rsidR="00FB2A8E" w:rsidRPr="002D0E2B" w:rsidRDefault="00FB2A8E" w:rsidP="008908E5">
      <w:pPr>
        <w:pStyle w:val="Default"/>
        <w:numPr>
          <w:ilvl w:val="0"/>
          <w:numId w:val="3"/>
        </w:numPr>
        <w:rPr>
          <w:bCs/>
          <w:sz w:val="22"/>
          <w:szCs w:val="22"/>
        </w:rPr>
      </w:pPr>
      <w:r w:rsidRPr="002D0E2B">
        <w:rPr>
          <w:bCs/>
          <w:sz w:val="22"/>
          <w:szCs w:val="22"/>
        </w:rPr>
        <w:t>Shared good practice</w:t>
      </w:r>
      <w:r w:rsidR="00762ED3" w:rsidRPr="002D0E2B">
        <w:rPr>
          <w:bCs/>
          <w:sz w:val="22"/>
          <w:szCs w:val="22"/>
        </w:rPr>
        <w:t>.</w:t>
      </w:r>
    </w:p>
    <w:p w:rsidR="00756E4B" w:rsidRPr="002D0E2B" w:rsidRDefault="00756E4B" w:rsidP="008908E5">
      <w:pPr>
        <w:pStyle w:val="Default"/>
        <w:numPr>
          <w:ilvl w:val="0"/>
          <w:numId w:val="3"/>
        </w:numPr>
        <w:rPr>
          <w:bCs/>
          <w:sz w:val="22"/>
          <w:szCs w:val="22"/>
        </w:rPr>
      </w:pPr>
      <w:r w:rsidRPr="002D0E2B">
        <w:rPr>
          <w:bCs/>
          <w:sz w:val="22"/>
          <w:szCs w:val="22"/>
        </w:rPr>
        <w:t>Ensuring value for money in the delivery of education and training services</w:t>
      </w:r>
      <w:r w:rsidR="00762ED3" w:rsidRPr="002D0E2B">
        <w:rPr>
          <w:bCs/>
          <w:sz w:val="22"/>
          <w:szCs w:val="22"/>
        </w:rPr>
        <w:t>.</w:t>
      </w:r>
    </w:p>
    <w:p w:rsidR="00762ED3" w:rsidRPr="002D0E2B" w:rsidRDefault="00762ED3" w:rsidP="008908E5">
      <w:pPr>
        <w:pStyle w:val="Default"/>
        <w:numPr>
          <w:ilvl w:val="0"/>
          <w:numId w:val="3"/>
        </w:numPr>
        <w:rPr>
          <w:bCs/>
          <w:sz w:val="22"/>
          <w:szCs w:val="22"/>
        </w:rPr>
      </w:pPr>
      <w:r w:rsidRPr="002D0E2B">
        <w:rPr>
          <w:bCs/>
          <w:sz w:val="22"/>
          <w:szCs w:val="22"/>
        </w:rPr>
        <w:t xml:space="preserve">Utilising subcontractors to complement our own delivery of Apprenticeships </w:t>
      </w:r>
      <w:r w:rsidRPr="002D0E2B">
        <w:rPr>
          <w:sz w:val="22"/>
          <w:szCs w:val="22"/>
        </w:rPr>
        <w:t>if requested by an employer.</w:t>
      </w:r>
    </w:p>
    <w:p w:rsidR="00FB2A8E" w:rsidRPr="002D0E2B" w:rsidRDefault="00FB2A8E" w:rsidP="007369D4">
      <w:pPr>
        <w:pStyle w:val="Default"/>
        <w:rPr>
          <w:sz w:val="22"/>
          <w:szCs w:val="22"/>
        </w:rPr>
      </w:pPr>
    </w:p>
    <w:p w:rsidR="00B65961" w:rsidRPr="002D0E2B" w:rsidRDefault="00B65961" w:rsidP="007369D4">
      <w:pPr>
        <w:pStyle w:val="Default"/>
        <w:rPr>
          <w:rFonts w:eastAsia="Times New Roman"/>
          <w:color w:val="auto"/>
          <w:sz w:val="22"/>
          <w:szCs w:val="22"/>
          <w:lang w:eastAsia="en-GB"/>
        </w:rPr>
      </w:pPr>
    </w:p>
    <w:p w:rsidR="00B31E9E" w:rsidRPr="002D0E2B" w:rsidRDefault="00774057" w:rsidP="007369D4">
      <w:pPr>
        <w:pStyle w:val="Default"/>
        <w:rPr>
          <w:b/>
          <w:sz w:val="22"/>
          <w:szCs w:val="22"/>
          <w:u w:val="single"/>
        </w:rPr>
      </w:pPr>
      <w:r>
        <w:rPr>
          <w:rFonts w:eastAsia="Times New Roman"/>
          <w:b/>
          <w:color w:val="auto"/>
          <w:sz w:val="22"/>
          <w:szCs w:val="22"/>
          <w:lang w:eastAsia="en-GB"/>
        </w:rPr>
        <w:t>6</w:t>
      </w:r>
      <w:r w:rsidR="00B31E9E" w:rsidRPr="002D0E2B">
        <w:rPr>
          <w:rFonts w:eastAsia="Times New Roman"/>
          <w:b/>
          <w:color w:val="auto"/>
          <w:sz w:val="22"/>
          <w:szCs w:val="22"/>
          <w:lang w:eastAsia="en-GB"/>
        </w:rPr>
        <w:t>.</w:t>
      </w:r>
      <w:r w:rsidR="00B31E9E" w:rsidRPr="002D0E2B">
        <w:rPr>
          <w:rFonts w:eastAsia="Times New Roman"/>
          <w:b/>
          <w:color w:val="auto"/>
          <w:sz w:val="22"/>
          <w:szCs w:val="22"/>
          <w:lang w:eastAsia="en-GB"/>
        </w:rPr>
        <w:tab/>
      </w:r>
      <w:r w:rsidR="00B31E9E" w:rsidRPr="002D0E2B">
        <w:rPr>
          <w:rFonts w:eastAsia="Times New Roman"/>
          <w:b/>
          <w:color w:val="auto"/>
          <w:sz w:val="22"/>
          <w:szCs w:val="22"/>
          <w:u w:val="single"/>
          <w:lang w:eastAsia="en-GB"/>
        </w:rPr>
        <w:t>Contribution to Improving Quality of Teaching and Learning</w:t>
      </w:r>
    </w:p>
    <w:p w:rsidR="00452711" w:rsidRPr="002D0E2B" w:rsidRDefault="00452711" w:rsidP="007369D4">
      <w:pPr>
        <w:pStyle w:val="Default"/>
        <w:rPr>
          <w:sz w:val="22"/>
          <w:szCs w:val="22"/>
        </w:rPr>
      </w:pPr>
    </w:p>
    <w:p w:rsidR="00B31E9E" w:rsidRPr="002D0E2B" w:rsidRDefault="00774057" w:rsidP="004A4A83">
      <w:pPr>
        <w:pStyle w:val="Default"/>
        <w:ind w:left="720" w:hanging="720"/>
        <w:rPr>
          <w:sz w:val="22"/>
          <w:szCs w:val="22"/>
        </w:rPr>
      </w:pPr>
      <w:r>
        <w:rPr>
          <w:sz w:val="22"/>
          <w:szCs w:val="22"/>
        </w:rPr>
        <w:t>6</w:t>
      </w:r>
      <w:r w:rsidR="004A4A83" w:rsidRPr="002D0E2B">
        <w:rPr>
          <w:sz w:val="22"/>
          <w:szCs w:val="22"/>
        </w:rPr>
        <w:t>.1</w:t>
      </w:r>
      <w:r w:rsidR="004A4A83" w:rsidRPr="002D0E2B">
        <w:rPr>
          <w:sz w:val="22"/>
          <w:szCs w:val="22"/>
        </w:rPr>
        <w:tab/>
      </w:r>
      <w:r w:rsidR="004F1CE6">
        <w:rPr>
          <w:sz w:val="22"/>
          <w:szCs w:val="22"/>
        </w:rPr>
        <w:t>The Group</w:t>
      </w:r>
      <w:r w:rsidR="0021658B">
        <w:rPr>
          <w:sz w:val="22"/>
          <w:szCs w:val="22"/>
        </w:rPr>
        <w:t xml:space="preserve"> </w:t>
      </w:r>
      <w:r w:rsidR="00FB2A8E" w:rsidRPr="002D0E2B">
        <w:rPr>
          <w:sz w:val="22"/>
          <w:szCs w:val="22"/>
        </w:rPr>
        <w:t xml:space="preserve">ensures </w:t>
      </w:r>
      <w:r w:rsidR="004A4A83" w:rsidRPr="002D0E2B">
        <w:rPr>
          <w:sz w:val="22"/>
          <w:szCs w:val="22"/>
        </w:rPr>
        <w:t>s</w:t>
      </w:r>
      <w:r w:rsidR="00FB2A8E" w:rsidRPr="002D0E2B">
        <w:rPr>
          <w:sz w:val="22"/>
          <w:szCs w:val="22"/>
        </w:rPr>
        <w:t xml:space="preserve">ubcontractors are included </w:t>
      </w:r>
      <w:r w:rsidR="004A4A83" w:rsidRPr="002D0E2B">
        <w:rPr>
          <w:sz w:val="22"/>
          <w:szCs w:val="22"/>
        </w:rPr>
        <w:t xml:space="preserve">within its </w:t>
      </w:r>
      <w:r w:rsidR="00FB2A8E" w:rsidRPr="002D0E2B">
        <w:rPr>
          <w:sz w:val="22"/>
          <w:szCs w:val="22"/>
        </w:rPr>
        <w:t>quality process</w:t>
      </w:r>
      <w:r w:rsidR="004A4A83" w:rsidRPr="002D0E2B">
        <w:rPr>
          <w:sz w:val="22"/>
          <w:szCs w:val="22"/>
        </w:rPr>
        <w:t>es</w:t>
      </w:r>
      <w:r w:rsidR="00FB2A8E" w:rsidRPr="002D0E2B">
        <w:rPr>
          <w:sz w:val="22"/>
          <w:szCs w:val="22"/>
        </w:rPr>
        <w:t>.  Subcontractors are supported</w:t>
      </w:r>
      <w:r w:rsidR="0021658B">
        <w:rPr>
          <w:sz w:val="22"/>
          <w:szCs w:val="22"/>
        </w:rPr>
        <w:t xml:space="preserve"> </w:t>
      </w:r>
      <w:r w:rsidR="00FB2A8E" w:rsidRPr="002D0E2B">
        <w:rPr>
          <w:sz w:val="22"/>
          <w:szCs w:val="22"/>
        </w:rPr>
        <w:t xml:space="preserve">to maintain the same </w:t>
      </w:r>
      <w:proofErr w:type="gramStart"/>
      <w:r w:rsidR="00FB2A8E" w:rsidRPr="002D0E2B">
        <w:rPr>
          <w:sz w:val="22"/>
          <w:szCs w:val="22"/>
        </w:rPr>
        <w:t>high quality</w:t>
      </w:r>
      <w:proofErr w:type="gramEnd"/>
      <w:r w:rsidR="00FB2A8E" w:rsidRPr="002D0E2B">
        <w:rPr>
          <w:sz w:val="22"/>
          <w:szCs w:val="22"/>
        </w:rPr>
        <w:t xml:space="preserve"> standards expected across all aspects of </w:t>
      </w:r>
      <w:r w:rsidR="004F1CE6">
        <w:rPr>
          <w:sz w:val="22"/>
          <w:szCs w:val="22"/>
        </w:rPr>
        <w:t>the Group</w:t>
      </w:r>
      <w:r w:rsidR="00FB2A8E" w:rsidRPr="002D0E2B">
        <w:rPr>
          <w:sz w:val="22"/>
          <w:szCs w:val="22"/>
        </w:rPr>
        <w:t>.</w:t>
      </w:r>
    </w:p>
    <w:p w:rsidR="00B31E9E" w:rsidRPr="002D0E2B" w:rsidRDefault="00B31E9E" w:rsidP="007369D4">
      <w:pPr>
        <w:pStyle w:val="Default"/>
        <w:rPr>
          <w:sz w:val="22"/>
          <w:szCs w:val="22"/>
        </w:rPr>
      </w:pPr>
    </w:p>
    <w:p w:rsidR="00B65961" w:rsidRPr="00D148D6" w:rsidRDefault="00774057" w:rsidP="00D148D6">
      <w:pPr>
        <w:ind w:left="720" w:hanging="720"/>
        <w:rPr>
          <w:rFonts w:ascii="Arial" w:hAnsi="Arial" w:cs="Arial"/>
          <w:sz w:val="22"/>
          <w:szCs w:val="22"/>
        </w:rPr>
      </w:pPr>
      <w:r>
        <w:rPr>
          <w:rFonts w:ascii="Arial" w:hAnsi="Arial" w:cs="Arial"/>
          <w:sz w:val="22"/>
          <w:szCs w:val="22"/>
        </w:rPr>
        <w:t>6</w:t>
      </w:r>
      <w:r w:rsidR="004A4A83" w:rsidRPr="002D0E2B">
        <w:rPr>
          <w:rFonts w:ascii="Arial" w:hAnsi="Arial" w:cs="Arial"/>
          <w:sz w:val="22"/>
          <w:szCs w:val="22"/>
        </w:rPr>
        <w:t>.2</w:t>
      </w:r>
      <w:r w:rsidR="004A4A83" w:rsidRPr="002D0E2B">
        <w:rPr>
          <w:rFonts w:ascii="Arial" w:hAnsi="Arial" w:cs="Arial"/>
          <w:sz w:val="22"/>
          <w:szCs w:val="22"/>
        </w:rPr>
        <w:tab/>
      </w:r>
      <w:r w:rsidR="004F1CE6">
        <w:rPr>
          <w:rFonts w:ascii="Arial" w:hAnsi="Arial" w:cs="Arial"/>
          <w:sz w:val="22"/>
          <w:szCs w:val="22"/>
        </w:rPr>
        <w:t>The</w:t>
      </w:r>
      <w:r w:rsidR="004A4A83" w:rsidRPr="002D0E2B">
        <w:rPr>
          <w:rFonts w:ascii="Arial" w:hAnsi="Arial" w:cs="Arial"/>
          <w:sz w:val="22"/>
          <w:szCs w:val="22"/>
        </w:rPr>
        <w:t xml:space="preserve"> </w:t>
      </w:r>
      <w:r w:rsidR="0021658B">
        <w:rPr>
          <w:rFonts w:ascii="Arial" w:hAnsi="Arial" w:cs="Arial"/>
          <w:sz w:val="22"/>
          <w:szCs w:val="22"/>
        </w:rPr>
        <w:t xml:space="preserve">Group </w:t>
      </w:r>
      <w:r w:rsidR="004A4A83" w:rsidRPr="002D0E2B">
        <w:rPr>
          <w:rFonts w:ascii="Arial" w:hAnsi="Arial" w:cs="Arial"/>
          <w:sz w:val="22"/>
          <w:szCs w:val="22"/>
        </w:rPr>
        <w:t xml:space="preserve">is committed to continuous improvement and this commitment covers all provision including subcontracted programmes.  All subcontracted provision is included in our quality cycle which includes lesson observations, quality improvement meetings and shared quality improvement plans.  </w:t>
      </w:r>
      <w:r w:rsidR="004F1CE6">
        <w:rPr>
          <w:rFonts w:ascii="Arial" w:hAnsi="Arial" w:cs="Arial"/>
          <w:sz w:val="22"/>
          <w:szCs w:val="22"/>
        </w:rPr>
        <w:t>The</w:t>
      </w:r>
      <w:r w:rsidR="004A4A83" w:rsidRPr="002D0E2B">
        <w:rPr>
          <w:rFonts w:ascii="Arial" w:hAnsi="Arial" w:cs="Arial"/>
          <w:sz w:val="22"/>
          <w:szCs w:val="22"/>
        </w:rPr>
        <w:t xml:space="preserve"> </w:t>
      </w:r>
      <w:r w:rsidR="0021658B">
        <w:rPr>
          <w:rFonts w:ascii="Arial" w:hAnsi="Arial" w:cs="Arial"/>
          <w:sz w:val="22"/>
          <w:szCs w:val="22"/>
        </w:rPr>
        <w:t xml:space="preserve">Group </w:t>
      </w:r>
      <w:r w:rsidR="004A4A83" w:rsidRPr="002D0E2B">
        <w:rPr>
          <w:rFonts w:ascii="Arial" w:hAnsi="Arial" w:cs="Arial"/>
          <w:sz w:val="22"/>
          <w:szCs w:val="22"/>
        </w:rPr>
        <w:t>supports the subcontractor throughout this process to ensure quality provision is being delivered to the high standards expected.</w:t>
      </w:r>
    </w:p>
    <w:p w:rsidR="00B65961" w:rsidRDefault="00B65961" w:rsidP="007369D4">
      <w:pPr>
        <w:pStyle w:val="Default"/>
        <w:rPr>
          <w:sz w:val="22"/>
          <w:szCs w:val="22"/>
        </w:rPr>
      </w:pPr>
    </w:p>
    <w:p w:rsidR="003A57A2" w:rsidRDefault="003A57A2">
      <w:pPr>
        <w:rPr>
          <w:rFonts w:ascii="Arial" w:eastAsia="Calibri" w:hAnsi="Arial" w:cs="Arial"/>
          <w:b/>
          <w:color w:val="000000"/>
          <w:sz w:val="22"/>
          <w:szCs w:val="22"/>
          <w:lang w:eastAsia="en-US"/>
        </w:rPr>
      </w:pPr>
    </w:p>
    <w:p w:rsidR="00B31E9E" w:rsidRPr="002D0E2B" w:rsidRDefault="00774057" w:rsidP="007369D4">
      <w:pPr>
        <w:pStyle w:val="Default"/>
        <w:rPr>
          <w:b/>
          <w:sz w:val="22"/>
          <w:szCs w:val="22"/>
        </w:rPr>
      </w:pPr>
      <w:r>
        <w:rPr>
          <w:b/>
          <w:sz w:val="22"/>
          <w:szCs w:val="22"/>
        </w:rPr>
        <w:t>7</w:t>
      </w:r>
      <w:r w:rsidR="00B31E9E" w:rsidRPr="002D0E2B">
        <w:rPr>
          <w:b/>
          <w:sz w:val="22"/>
          <w:szCs w:val="22"/>
        </w:rPr>
        <w:t>.</w:t>
      </w:r>
      <w:r w:rsidR="00B31E9E" w:rsidRPr="002D0E2B">
        <w:rPr>
          <w:b/>
          <w:sz w:val="22"/>
          <w:szCs w:val="22"/>
        </w:rPr>
        <w:tab/>
      </w:r>
      <w:r w:rsidR="00B31E9E" w:rsidRPr="002D0E2B">
        <w:rPr>
          <w:b/>
          <w:sz w:val="22"/>
          <w:szCs w:val="22"/>
          <w:u w:val="single"/>
        </w:rPr>
        <w:t>Support for Subcontractors</w:t>
      </w:r>
    </w:p>
    <w:p w:rsidR="00B31E9E" w:rsidRPr="002D0E2B" w:rsidRDefault="00B31E9E" w:rsidP="00B31E9E">
      <w:pPr>
        <w:rPr>
          <w:rFonts w:ascii="Arial" w:hAnsi="Arial" w:cs="Arial"/>
          <w:sz w:val="22"/>
          <w:szCs w:val="22"/>
        </w:rPr>
      </w:pPr>
    </w:p>
    <w:p w:rsidR="00191B29" w:rsidRPr="002D0E2B" w:rsidRDefault="00774057" w:rsidP="00191B29">
      <w:pPr>
        <w:ind w:left="720" w:hanging="720"/>
        <w:rPr>
          <w:rFonts w:ascii="Arial" w:hAnsi="Arial" w:cs="Arial"/>
          <w:sz w:val="22"/>
          <w:szCs w:val="22"/>
        </w:rPr>
      </w:pPr>
      <w:r>
        <w:rPr>
          <w:rFonts w:ascii="Arial" w:hAnsi="Arial" w:cs="Arial"/>
          <w:sz w:val="22"/>
          <w:szCs w:val="22"/>
        </w:rPr>
        <w:t>7</w:t>
      </w:r>
      <w:r w:rsidR="00191B29" w:rsidRPr="002D0E2B">
        <w:rPr>
          <w:rFonts w:ascii="Arial" w:hAnsi="Arial" w:cs="Arial"/>
          <w:sz w:val="22"/>
          <w:szCs w:val="22"/>
        </w:rPr>
        <w:t>.1</w:t>
      </w:r>
      <w:r w:rsidR="00191B29" w:rsidRPr="002D0E2B">
        <w:rPr>
          <w:rFonts w:ascii="Arial" w:hAnsi="Arial" w:cs="Arial"/>
          <w:sz w:val="22"/>
          <w:szCs w:val="22"/>
        </w:rPr>
        <w:tab/>
        <w:t>The contractual agreement outline</w:t>
      </w:r>
      <w:r w:rsidR="000E3C05">
        <w:rPr>
          <w:rFonts w:ascii="Arial" w:hAnsi="Arial" w:cs="Arial"/>
          <w:sz w:val="22"/>
          <w:szCs w:val="22"/>
        </w:rPr>
        <w:t>s</w:t>
      </w:r>
      <w:r w:rsidR="00191B29" w:rsidRPr="002D0E2B">
        <w:rPr>
          <w:rFonts w:ascii="Arial" w:hAnsi="Arial" w:cs="Arial"/>
          <w:sz w:val="22"/>
          <w:szCs w:val="22"/>
        </w:rPr>
        <w:t xml:space="preserve"> the roles and responsibilities for both parties.  The ongoing support given to the subcontractor typically includes:</w:t>
      </w:r>
    </w:p>
    <w:p w:rsidR="00191B29" w:rsidRPr="002D0E2B" w:rsidRDefault="00191B29" w:rsidP="00191B29">
      <w:pPr>
        <w:rPr>
          <w:rFonts w:ascii="Arial" w:hAnsi="Arial" w:cs="Arial"/>
          <w:sz w:val="22"/>
          <w:szCs w:val="22"/>
        </w:rPr>
      </w:pP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Performance management</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Regular review meetings</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Paperwork validation prior to submission to the funder</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Confirmation of learner eligibility</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 xml:space="preserve">Data input and submissions to the funder via the </w:t>
      </w:r>
      <w:r w:rsidR="00100DC7">
        <w:rPr>
          <w:rFonts w:ascii="Arial" w:hAnsi="Arial" w:cs="Arial"/>
          <w:sz w:val="22"/>
          <w:szCs w:val="22"/>
          <w:lang w:val="en-GB"/>
        </w:rPr>
        <w:t xml:space="preserve">Group’s </w:t>
      </w:r>
      <w:r w:rsidRPr="002D0E2B">
        <w:rPr>
          <w:rFonts w:ascii="Arial" w:hAnsi="Arial" w:cs="Arial"/>
          <w:sz w:val="22"/>
          <w:szCs w:val="22"/>
          <w:lang w:val="en-GB"/>
        </w:rPr>
        <w:t>Individualised Learner Record.</w:t>
      </w:r>
    </w:p>
    <w:p w:rsidR="00191B29" w:rsidRPr="002D0E2B" w:rsidRDefault="00191B29" w:rsidP="008908E5">
      <w:pPr>
        <w:pStyle w:val="Default"/>
        <w:numPr>
          <w:ilvl w:val="0"/>
          <w:numId w:val="6"/>
        </w:numPr>
        <w:ind w:left="1080"/>
        <w:rPr>
          <w:sz w:val="22"/>
          <w:szCs w:val="22"/>
        </w:rPr>
      </w:pPr>
      <w:r w:rsidRPr="002D0E2B">
        <w:rPr>
          <w:sz w:val="22"/>
          <w:szCs w:val="22"/>
        </w:rPr>
        <w:t>Learner tracking documents with learner status updates</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Quality meetings</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Audit compliance advice and guidance</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Funding and eligibility queries</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Sharing of good practice</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IAG on delivery methods and programme delivery</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 xml:space="preserve">Access to all development and training opportunities available to </w:t>
      </w:r>
      <w:r w:rsidR="00F76D88">
        <w:rPr>
          <w:rFonts w:ascii="Arial" w:hAnsi="Arial" w:cs="Arial"/>
          <w:sz w:val="22"/>
          <w:szCs w:val="22"/>
          <w:lang w:val="en-GB"/>
        </w:rPr>
        <w:t xml:space="preserve">Group </w:t>
      </w:r>
      <w:r w:rsidRPr="002D0E2B">
        <w:rPr>
          <w:rFonts w:ascii="Arial" w:hAnsi="Arial" w:cs="Arial"/>
          <w:sz w:val="22"/>
          <w:szCs w:val="22"/>
          <w:lang w:val="en-GB"/>
        </w:rPr>
        <w:t>staff</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Training (where relevant), advice and support to improve quality</w:t>
      </w:r>
    </w:p>
    <w:p w:rsidR="00191B29" w:rsidRPr="002D0E2B" w:rsidRDefault="00191B29" w:rsidP="008908E5">
      <w:pPr>
        <w:pStyle w:val="ListParagraph"/>
        <w:numPr>
          <w:ilvl w:val="0"/>
          <w:numId w:val="6"/>
        </w:numPr>
        <w:ind w:left="1080"/>
        <w:rPr>
          <w:rFonts w:ascii="Arial" w:hAnsi="Arial" w:cs="Arial"/>
          <w:sz w:val="22"/>
          <w:szCs w:val="22"/>
          <w:lang w:val="en-GB"/>
        </w:rPr>
      </w:pPr>
      <w:r w:rsidRPr="002D0E2B">
        <w:rPr>
          <w:rFonts w:ascii="Arial" w:hAnsi="Arial" w:cs="Arial"/>
          <w:sz w:val="22"/>
          <w:szCs w:val="22"/>
          <w:lang w:val="en-GB"/>
        </w:rPr>
        <w:t xml:space="preserve">Advice on implementation of </w:t>
      </w:r>
      <w:r w:rsidR="0021658B">
        <w:rPr>
          <w:rFonts w:ascii="Arial" w:hAnsi="Arial" w:cs="Arial"/>
          <w:sz w:val="22"/>
          <w:szCs w:val="22"/>
          <w:lang w:val="en-GB"/>
        </w:rPr>
        <w:t xml:space="preserve">Group </w:t>
      </w:r>
      <w:r w:rsidRPr="002D0E2B">
        <w:rPr>
          <w:rFonts w:ascii="Arial" w:hAnsi="Arial" w:cs="Arial"/>
          <w:sz w:val="22"/>
          <w:szCs w:val="22"/>
          <w:lang w:val="en-GB"/>
        </w:rPr>
        <w:t>policies.</w:t>
      </w:r>
    </w:p>
    <w:p w:rsidR="00191B29" w:rsidRPr="002D0E2B" w:rsidRDefault="00191B29" w:rsidP="008908E5">
      <w:pPr>
        <w:pStyle w:val="Default"/>
        <w:numPr>
          <w:ilvl w:val="0"/>
          <w:numId w:val="6"/>
        </w:numPr>
        <w:ind w:left="1080"/>
        <w:rPr>
          <w:sz w:val="22"/>
          <w:szCs w:val="22"/>
        </w:rPr>
      </w:pPr>
      <w:r w:rsidRPr="002D0E2B">
        <w:rPr>
          <w:sz w:val="22"/>
          <w:szCs w:val="22"/>
        </w:rPr>
        <w:t xml:space="preserve">Tracking documents with transparent calculations to detail both the funding claimed by the </w:t>
      </w:r>
      <w:r w:rsidR="00100DC7">
        <w:rPr>
          <w:sz w:val="22"/>
          <w:szCs w:val="22"/>
        </w:rPr>
        <w:t>Group</w:t>
      </w:r>
      <w:r w:rsidRPr="002D0E2B">
        <w:rPr>
          <w:sz w:val="22"/>
          <w:szCs w:val="22"/>
        </w:rPr>
        <w:t xml:space="preserve"> and the Payment passed to the Subcontractor</w:t>
      </w:r>
    </w:p>
    <w:p w:rsidR="00191B29" w:rsidRPr="002D0E2B" w:rsidRDefault="00191B29" w:rsidP="008908E5">
      <w:pPr>
        <w:pStyle w:val="Default"/>
        <w:numPr>
          <w:ilvl w:val="0"/>
          <w:numId w:val="2"/>
        </w:numPr>
        <w:rPr>
          <w:sz w:val="22"/>
          <w:szCs w:val="22"/>
        </w:rPr>
      </w:pPr>
      <w:r w:rsidRPr="002D0E2B">
        <w:rPr>
          <w:sz w:val="22"/>
          <w:szCs w:val="22"/>
        </w:rPr>
        <w:t>A subcontractor manual and regular updates</w:t>
      </w:r>
    </w:p>
    <w:p w:rsidR="00191B29" w:rsidRPr="002D0E2B" w:rsidRDefault="00191B29" w:rsidP="008908E5">
      <w:pPr>
        <w:pStyle w:val="Default"/>
        <w:numPr>
          <w:ilvl w:val="0"/>
          <w:numId w:val="2"/>
        </w:numPr>
        <w:rPr>
          <w:sz w:val="22"/>
          <w:szCs w:val="22"/>
        </w:rPr>
      </w:pPr>
      <w:r w:rsidRPr="002D0E2B">
        <w:rPr>
          <w:sz w:val="22"/>
          <w:szCs w:val="22"/>
        </w:rPr>
        <w:t xml:space="preserve">Where necessary, Internal Verification (IV) and assessor support can be provided by the </w:t>
      </w:r>
      <w:r w:rsidR="00100DC7">
        <w:rPr>
          <w:sz w:val="22"/>
          <w:szCs w:val="22"/>
        </w:rPr>
        <w:t>Group.</w:t>
      </w:r>
    </w:p>
    <w:p w:rsidR="00191B29" w:rsidRPr="002D0E2B" w:rsidRDefault="00191B29" w:rsidP="008908E5">
      <w:pPr>
        <w:pStyle w:val="Default"/>
        <w:numPr>
          <w:ilvl w:val="0"/>
          <w:numId w:val="2"/>
        </w:numPr>
        <w:rPr>
          <w:sz w:val="22"/>
          <w:szCs w:val="22"/>
        </w:rPr>
      </w:pPr>
      <w:r w:rsidRPr="002D0E2B">
        <w:rPr>
          <w:sz w:val="22"/>
          <w:szCs w:val="22"/>
        </w:rPr>
        <w:t>Where necessary, Health &amp; Safety assessments</w:t>
      </w:r>
    </w:p>
    <w:p w:rsidR="00704885" w:rsidRPr="002D0E2B" w:rsidRDefault="00704885" w:rsidP="00191B29">
      <w:pPr>
        <w:autoSpaceDE w:val="0"/>
        <w:autoSpaceDN w:val="0"/>
        <w:adjustRightInd w:val="0"/>
        <w:rPr>
          <w:rFonts w:ascii="Arial" w:hAnsi="Arial" w:cs="Arial"/>
          <w:color w:val="000000"/>
          <w:sz w:val="22"/>
          <w:szCs w:val="22"/>
        </w:rPr>
      </w:pPr>
    </w:p>
    <w:p w:rsidR="00FB2A8E" w:rsidRPr="002D0E2B" w:rsidRDefault="00774057" w:rsidP="007369D4">
      <w:pPr>
        <w:pStyle w:val="Default"/>
        <w:ind w:left="720" w:hanging="720"/>
        <w:rPr>
          <w:sz w:val="22"/>
          <w:szCs w:val="22"/>
        </w:rPr>
      </w:pPr>
      <w:r>
        <w:rPr>
          <w:sz w:val="22"/>
          <w:szCs w:val="22"/>
        </w:rPr>
        <w:t>7</w:t>
      </w:r>
      <w:r w:rsidR="00AA4EF8" w:rsidRPr="002D0E2B">
        <w:rPr>
          <w:sz w:val="22"/>
          <w:szCs w:val="22"/>
        </w:rPr>
        <w:t>.2</w:t>
      </w:r>
      <w:r w:rsidR="007369D4" w:rsidRPr="002D0E2B">
        <w:rPr>
          <w:sz w:val="22"/>
          <w:szCs w:val="22"/>
        </w:rPr>
        <w:tab/>
      </w:r>
      <w:r w:rsidR="00FB2A8E" w:rsidRPr="002D0E2B">
        <w:rPr>
          <w:sz w:val="22"/>
          <w:szCs w:val="22"/>
        </w:rPr>
        <w:t xml:space="preserve">Subcontractors are involved in regular meetings with </w:t>
      </w:r>
      <w:r w:rsidR="004F1CE6">
        <w:rPr>
          <w:sz w:val="22"/>
          <w:szCs w:val="22"/>
        </w:rPr>
        <w:t>the Group</w:t>
      </w:r>
      <w:r w:rsidR="0021658B">
        <w:rPr>
          <w:sz w:val="22"/>
          <w:szCs w:val="22"/>
        </w:rPr>
        <w:t xml:space="preserve"> </w:t>
      </w:r>
      <w:r w:rsidR="00FB2A8E" w:rsidRPr="002D0E2B">
        <w:rPr>
          <w:sz w:val="22"/>
          <w:szCs w:val="22"/>
        </w:rPr>
        <w:t xml:space="preserve">to performance manage quality and mitigate any risks or issues related to the delivery of the </w:t>
      </w:r>
      <w:r w:rsidR="00AA4EF8" w:rsidRPr="002D0E2B">
        <w:rPr>
          <w:sz w:val="22"/>
          <w:szCs w:val="22"/>
        </w:rPr>
        <w:t>s</w:t>
      </w:r>
      <w:r w:rsidR="00FB2A8E" w:rsidRPr="002D0E2B">
        <w:rPr>
          <w:sz w:val="22"/>
          <w:szCs w:val="22"/>
        </w:rPr>
        <w:t>ubcontract.</w:t>
      </w:r>
    </w:p>
    <w:p w:rsidR="00FB2A8E" w:rsidRPr="002D0E2B" w:rsidRDefault="00FB2A8E" w:rsidP="007369D4">
      <w:pPr>
        <w:pStyle w:val="Default"/>
        <w:rPr>
          <w:sz w:val="22"/>
          <w:szCs w:val="22"/>
        </w:rPr>
      </w:pPr>
    </w:p>
    <w:p w:rsidR="00FB2A8E" w:rsidRPr="002D0E2B" w:rsidRDefault="00774057" w:rsidP="007369D4">
      <w:pPr>
        <w:pStyle w:val="Default"/>
        <w:ind w:left="720" w:hanging="720"/>
        <w:rPr>
          <w:sz w:val="22"/>
          <w:szCs w:val="22"/>
        </w:rPr>
      </w:pPr>
      <w:r>
        <w:rPr>
          <w:sz w:val="22"/>
          <w:szCs w:val="22"/>
        </w:rPr>
        <w:t>7</w:t>
      </w:r>
      <w:r w:rsidR="007369D4" w:rsidRPr="002D0E2B">
        <w:rPr>
          <w:sz w:val="22"/>
          <w:szCs w:val="22"/>
        </w:rPr>
        <w:t>.3</w:t>
      </w:r>
      <w:r w:rsidR="007369D4" w:rsidRPr="002D0E2B">
        <w:rPr>
          <w:sz w:val="22"/>
          <w:szCs w:val="22"/>
        </w:rPr>
        <w:tab/>
      </w:r>
      <w:r w:rsidR="00FB2A8E" w:rsidRPr="002D0E2B">
        <w:rPr>
          <w:sz w:val="22"/>
          <w:szCs w:val="22"/>
        </w:rPr>
        <w:t>The experience of the learner is paramount</w:t>
      </w:r>
      <w:r w:rsidR="000E3C05">
        <w:rPr>
          <w:sz w:val="22"/>
          <w:szCs w:val="22"/>
        </w:rPr>
        <w:t>.  T</w:t>
      </w:r>
      <w:r w:rsidR="004F1CE6">
        <w:rPr>
          <w:sz w:val="22"/>
          <w:szCs w:val="22"/>
        </w:rPr>
        <w:t>he</w:t>
      </w:r>
      <w:r w:rsidR="0021658B">
        <w:rPr>
          <w:sz w:val="22"/>
          <w:szCs w:val="22"/>
        </w:rPr>
        <w:t xml:space="preserve"> Group</w:t>
      </w:r>
      <w:r w:rsidR="00FB2A8E" w:rsidRPr="002D0E2B">
        <w:rPr>
          <w:sz w:val="22"/>
          <w:szCs w:val="22"/>
        </w:rPr>
        <w:t xml:space="preserve"> and </w:t>
      </w:r>
      <w:r w:rsidR="00191B29" w:rsidRPr="002D0E2B">
        <w:rPr>
          <w:sz w:val="22"/>
          <w:szCs w:val="22"/>
        </w:rPr>
        <w:t xml:space="preserve">the </w:t>
      </w:r>
      <w:r w:rsidR="00FB2A8E" w:rsidRPr="002D0E2B">
        <w:rPr>
          <w:sz w:val="22"/>
          <w:szCs w:val="22"/>
        </w:rPr>
        <w:t xml:space="preserve">Subcontractor </w:t>
      </w:r>
      <w:r w:rsidR="00191B29" w:rsidRPr="002D0E2B">
        <w:rPr>
          <w:sz w:val="22"/>
          <w:szCs w:val="22"/>
        </w:rPr>
        <w:t xml:space="preserve">will </w:t>
      </w:r>
      <w:r w:rsidR="00FB2A8E" w:rsidRPr="002D0E2B">
        <w:rPr>
          <w:sz w:val="22"/>
          <w:szCs w:val="22"/>
        </w:rPr>
        <w:t>collaborate to ensure high quality provision is delivered and high levels of achievement are achieved and maintained.</w:t>
      </w:r>
    </w:p>
    <w:p w:rsidR="00FB2A8E" w:rsidRPr="002D0E2B" w:rsidRDefault="00FB2A8E" w:rsidP="007369D4">
      <w:pPr>
        <w:pStyle w:val="Default"/>
        <w:rPr>
          <w:sz w:val="22"/>
          <w:szCs w:val="22"/>
        </w:rPr>
      </w:pPr>
    </w:p>
    <w:p w:rsidR="00FB2A8E" w:rsidRPr="002D0E2B" w:rsidRDefault="00774057" w:rsidP="007369D4">
      <w:pPr>
        <w:pStyle w:val="Default"/>
        <w:ind w:left="720" w:hanging="720"/>
        <w:rPr>
          <w:sz w:val="22"/>
          <w:szCs w:val="22"/>
        </w:rPr>
      </w:pPr>
      <w:r>
        <w:rPr>
          <w:sz w:val="22"/>
          <w:szCs w:val="22"/>
        </w:rPr>
        <w:t>7</w:t>
      </w:r>
      <w:r w:rsidR="00A76007" w:rsidRPr="002D0E2B">
        <w:rPr>
          <w:sz w:val="22"/>
          <w:szCs w:val="22"/>
        </w:rPr>
        <w:t>.</w:t>
      </w:r>
      <w:r w:rsidR="00AA4EF8" w:rsidRPr="002D0E2B">
        <w:rPr>
          <w:sz w:val="22"/>
          <w:szCs w:val="22"/>
        </w:rPr>
        <w:t>4</w:t>
      </w:r>
      <w:r w:rsidR="007369D4" w:rsidRPr="002D0E2B">
        <w:rPr>
          <w:sz w:val="22"/>
          <w:szCs w:val="22"/>
        </w:rPr>
        <w:tab/>
      </w:r>
      <w:r w:rsidR="00FB2A8E" w:rsidRPr="002D0E2B">
        <w:rPr>
          <w:sz w:val="22"/>
          <w:szCs w:val="22"/>
        </w:rPr>
        <w:t xml:space="preserve">Subcontractors will be subject to a programme of announced and unannounced visits during each funding year from </w:t>
      </w:r>
      <w:r w:rsidR="004F1CE6">
        <w:rPr>
          <w:sz w:val="22"/>
          <w:szCs w:val="22"/>
        </w:rPr>
        <w:t xml:space="preserve">the </w:t>
      </w:r>
      <w:r w:rsidR="0021658B">
        <w:rPr>
          <w:sz w:val="22"/>
          <w:szCs w:val="22"/>
        </w:rPr>
        <w:t xml:space="preserve">Group </w:t>
      </w:r>
      <w:r w:rsidR="00FB2A8E" w:rsidRPr="002D0E2B">
        <w:rPr>
          <w:sz w:val="22"/>
          <w:szCs w:val="22"/>
        </w:rPr>
        <w:t xml:space="preserve">to ensure adherence to the </w:t>
      </w:r>
      <w:r w:rsidR="00793851">
        <w:rPr>
          <w:sz w:val="22"/>
          <w:szCs w:val="22"/>
        </w:rPr>
        <w:t xml:space="preserve">Subcontracting </w:t>
      </w:r>
      <w:r w:rsidR="00FB2A8E" w:rsidRPr="00793851">
        <w:rPr>
          <w:sz w:val="22"/>
          <w:szCs w:val="22"/>
        </w:rPr>
        <w:t>Funding Rules</w:t>
      </w:r>
      <w:r w:rsidR="00FB2A8E" w:rsidRPr="002D0E2B">
        <w:rPr>
          <w:sz w:val="22"/>
          <w:szCs w:val="22"/>
        </w:rPr>
        <w:t xml:space="preserve"> </w:t>
      </w:r>
      <w:r w:rsidR="002526E5">
        <w:rPr>
          <w:sz w:val="22"/>
          <w:szCs w:val="22"/>
        </w:rPr>
        <w:t>20</w:t>
      </w:r>
      <w:r w:rsidR="0021658B">
        <w:rPr>
          <w:sz w:val="22"/>
          <w:szCs w:val="22"/>
        </w:rPr>
        <w:t>2</w:t>
      </w:r>
      <w:r w:rsidR="008404E8">
        <w:rPr>
          <w:sz w:val="22"/>
          <w:szCs w:val="22"/>
        </w:rPr>
        <w:t>2</w:t>
      </w:r>
      <w:r w:rsidR="002526E5">
        <w:rPr>
          <w:sz w:val="22"/>
          <w:szCs w:val="22"/>
        </w:rPr>
        <w:t>/2</w:t>
      </w:r>
      <w:r w:rsidR="008404E8">
        <w:rPr>
          <w:sz w:val="22"/>
          <w:szCs w:val="22"/>
        </w:rPr>
        <w:t>3</w:t>
      </w:r>
      <w:r w:rsidR="00FB2A8E" w:rsidRPr="002D0E2B">
        <w:rPr>
          <w:sz w:val="22"/>
          <w:szCs w:val="22"/>
        </w:rPr>
        <w:t xml:space="preserve"> and continued high quality delivery of the contracted provision.</w:t>
      </w:r>
    </w:p>
    <w:p w:rsidR="00FB2A8E" w:rsidRPr="002D0E2B" w:rsidRDefault="00FB2A8E" w:rsidP="007369D4">
      <w:pPr>
        <w:pStyle w:val="Default"/>
        <w:rPr>
          <w:sz w:val="22"/>
          <w:szCs w:val="22"/>
        </w:rPr>
      </w:pPr>
    </w:p>
    <w:p w:rsidR="00FB2A8E" w:rsidRPr="002D0E2B" w:rsidRDefault="00774057" w:rsidP="007369D4">
      <w:pPr>
        <w:pStyle w:val="Default"/>
        <w:ind w:left="720" w:hanging="720"/>
        <w:rPr>
          <w:sz w:val="22"/>
          <w:szCs w:val="22"/>
        </w:rPr>
      </w:pPr>
      <w:r>
        <w:rPr>
          <w:sz w:val="22"/>
          <w:szCs w:val="22"/>
        </w:rPr>
        <w:t>7</w:t>
      </w:r>
      <w:r w:rsidR="00A76007" w:rsidRPr="002D0E2B">
        <w:rPr>
          <w:sz w:val="22"/>
          <w:szCs w:val="22"/>
        </w:rPr>
        <w:t>.</w:t>
      </w:r>
      <w:r w:rsidR="00F13FFB" w:rsidRPr="002D0E2B">
        <w:rPr>
          <w:sz w:val="22"/>
          <w:szCs w:val="22"/>
        </w:rPr>
        <w:t>5</w:t>
      </w:r>
      <w:r w:rsidR="007369D4" w:rsidRPr="002D0E2B">
        <w:rPr>
          <w:sz w:val="22"/>
          <w:szCs w:val="22"/>
        </w:rPr>
        <w:tab/>
      </w:r>
      <w:r w:rsidR="00FB2A8E" w:rsidRPr="002D0E2B">
        <w:rPr>
          <w:sz w:val="22"/>
          <w:szCs w:val="22"/>
        </w:rPr>
        <w:t>All Subcontractors receive a contract prior to delivery o</w:t>
      </w:r>
      <w:r w:rsidR="00A02A85">
        <w:rPr>
          <w:sz w:val="22"/>
          <w:szCs w:val="22"/>
        </w:rPr>
        <w:t xml:space="preserve">f any provision on behalf of </w:t>
      </w:r>
      <w:r w:rsidR="004F1CE6">
        <w:rPr>
          <w:sz w:val="22"/>
          <w:szCs w:val="22"/>
        </w:rPr>
        <w:t>the</w:t>
      </w:r>
      <w:r w:rsidR="0021658B">
        <w:rPr>
          <w:sz w:val="22"/>
          <w:szCs w:val="22"/>
        </w:rPr>
        <w:t xml:space="preserve"> Group</w:t>
      </w:r>
      <w:r w:rsidR="00FB2A8E" w:rsidRPr="002D0E2B">
        <w:rPr>
          <w:sz w:val="22"/>
          <w:szCs w:val="22"/>
        </w:rPr>
        <w:t>.</w:t>
      </w:r>
    </w:p>
    <w:p w:rsidR="00FB2A8E" w:rsidRPr="002D0E2B" w:rsidRDefault="00FB2A8E" w:rsidP="007369D4">
      <w:pPr>
        <w:pStyle w:val="Default"/>
        <w:rPr>
          <w:sz w:val="22"/>
          <w:szCs w:val="22"/>
        </w:rPr>
      </w:pPr>
    </w:p>
    <w:p w:rsidR="00FB2A8E" w:rsidRPr="002D0E2B" w:rsidRDefault="00774057" w:rsidP="007369D4">
      <w:pPr>
        <w:pStyle w:val="Default"/>
        <w:ind w:left="720" w:hanging="720"/>
        <w:rPr>
          <w:sz w:val="22"/>
          <w:szCs w:val="22"/>
        </w:rPr>
      </w:pPr>
      <w:r>
        <w:rPr>
          <w:sz w:val="22"/>
          <w:szCs w:val="22"/>
        </w:rPr>
        <w:t>7</w:t>
      </w:r>
      <w:r w:rsidR="00A76007" w:rsidRPr="002D0E2B">
        <w:rPr>
          <w:sz w:val="22"/>
          <w:szCs w:val="22"/>
        </w:rPr>
        <w:t>.</w:t>
      </w:r>
      <w:r w:rsidR="00F13FFB" w:rsidRPr="002D0E2B">
        <w:rPr>
          <w:sz w:val="22"/>
          <w:szCs w:val="22"/>
        </w:rPr>
        <w:t>6</w:t>
      </w:r>
      <w:r w:rsidR="007369D4" w:rsidRPr="002D0E2B">
        <w:rPr>
          <w:sz w:val="22"/>
          <w:szCs w:val="22"/>
        </w:rPr>
        <w:tab/>
      </w:r>
      <w:r w:rsidR="00FB2A8E" w:rsidRPr="002D0E2B">
        <w:rPr>
          <w:sz w:val="22"/>
          <w:szCs w:val="22"/>
        </w:rPr>
        <w:t xml:space="preserve">Subcontractors are given a key contact </w:t>
      </w:r>
      <w:r w:rsidR="004F1CE6">
        <w:rPr>
          <w:sz w:val="22"/>
          <w:szCs w:val="22"/>
        </w:rPr>
        <w:t>at the</w:t>
      </w:r>
      <w:r w:rsidR="0021658B">
        <w:rPr>
          <w:sz w:val="22"/>
          <w:szCs w:val="22"/>
        </w:rPr>
        <w:t xml:space="preserve"> Group</w:t>
      </w:r>
      <w:r w:rsidR="00FB2A8E" w:rsidRPr="002D0E2B">
        <w:rPr>
          <w:sz w:val="22"/>
          <w:szCs w:val="22"/>
        </w:rPr>
        <w:t xml:space="preserve"> for any issues relating to the subcontract delivery</w:t>
      </w:r>
      <w:r w:rsidR="00F13FFB" w:rsidRPr="002D0E2B">
        <w:rPr>
          <w:sz w:val="22"/>
          <w:szCs w:val="22"/>
        </w:rPr>
        <w:t>.</w:t>
      </w:r>
    </w:p>
    <w:p w:rsidR="00FB2A8E" w:rsidRPr="002D0E2B" w:rsidRDefault="00FB2A8E" w:rsidP="007369D4">
      <w:pPr>
        <w:pStyle w:val="Default"/>
        <w:rPr>
          <w:sz w:val="22"/>
          <w:szCs w:val="22"/>
        </w:rPr>
      </w:pPr>
    </w:p>
    <w:p w:rsidR="00FB2A8E" w:rsidRPr="002D0E2B" w:rsidRDefault="00774057" w:rsidP="007369D4">
      <w:pPr>
        <w:pStyle w:val="Default"/>
        <w:ind w:left="720" w:hanging="720"/>
        <w:rPr>
          <w:sz w:val="22"/>
          <w:szCs w:val="22"/>
        </w:rPr>
      </w:pPr>
      <w:r>
        <w:rPr>
          <w:sz w:val="22"/>
          <w:szCs w:val="22"/>
        </w:rPr>
        <w:t>7</w:t>
      </w:r>
      <w:r w:rsidR="00A76007" w:rsidRPr="002D0E2B">
        <w:rPr>
          <w:sz w:val="22"/>
          <w:szCs w:val="22"/>
        </w:rPr>
        <w:t>.</w:t>
      </w:r>
      <w:r w:rsidR="00F13FFB" w:rsidRPr="002D0E2B">
        <w:rPr>
          <w:sz w:val="22"/>
          <w:szCs w:val="22"/>
        </w:rPr>
        <w:t>7</w:t>
      </w:r>
      <w:r w:rsidR="007369D4" w:rsidRPr="002D0E2B">
        <w:rPr>
          <w:sz w:val="22"/>
          <w:szCs w:val="22"/>
        </w:rPr>
        <w:tab/>
      </w:r>
      <w:r w:rsidR="00FB2A8E" w:rsidRPr="002D0E2B">
        <w:rPr>
          <w:sz w:val="22"/>
          <w:szCs w:val="22"/>
        </w:rPr>
        <w:t xml:space="preserve">Subcontractors are given key curriculum contacts at </w:t>
      </w:r>
      <w:r w:rsidR="004F1CE6">
        <w:rPr>
          <w:sz w:val="22"/>
          <w:szCs w:val="22"/>
        </w:rPr>
        <w:t>the</w:t>
      </w:r>
      <w:r w:rsidR="00191B29" w:rsidRPr="002D0E2B">
        <w:rPr>
          <w:sz w:val="22"/>
          <w:szCs w:val="22"/>
        </w:rPr>
        <w:t xml:space="preserve"> </w:t>
      </w:r>
      <w:r w:rsidR="0021658B">
        <w:rPr>
          <w:sz w:val="22"/>
          <w:szCs w:val="22"/>
        </w:rPr>
        <w:t xml:space="preserve">Group </w:t>
      </w:r>
      <w:r w:rsidR="00FB2A8E" w:rsidRPr="002D0E2B">
        <w:rPr>
          <w:sz w:val="22"/>
          <w:szCs w:val="22"/>
        </w:rPr>
        <w:t>for any issues relating to curriculum aspects of the subcontract delivery</w:t>
      </w:r>
      <w:r w:rsidR="00F13FFB" w:rsidRPr="002D0E2B">
        <w:rPr>
          <w:sz w:val="22"/>
          <w:szCs w:val="22"/>
        </w:rPr>
        <w:t>.</w:t>
      </w:r>
    </w:p>
    <w:p w:rsidR="00FB2A8E" w:rsidRPr="002D0E2B" w:rsidRDefault="00FB2A8E" w:rsidP="007369D4">
      <w:pPr>
        <w:pStyle w:val="Default"/>
        <w:rPr>
          <w:sz w:val="22"/>
          <w:szCs w:val="22"/>
        </w:rPr>
      </w:pPr>
    </w:p>
    <w:p w:rsidR="00FB2A8E" w:rsidRPr="002D0E2B" w:rsidRDefault="00774057" w:rsidP="007369D4">
      <w:pPr>
        <w:pStyle w:val="Default"/>
        <w:ind w:left="720" w:hanging="720"/>
        <w:rPr>
          <w:sz w:val="22"/>
          <w:szCs w:val="22"/>
        </w:rPr>
      </w:pPr>
      <w:r>
        <w:rPr>
          <w:sz w:val="22"/>
          <w:szCs w:val="22"/>
        </w:rPr>
        <w:t>7</w:t>
      </w:r>
      <w:r w:rsidR="00A76007" w:rsidRPr="002D0E2B">
        <w:rPr>
          <w:sz w:val="22"/>
          <w:szCs w:val="22"/>
        </w:rPr>
        <w:t>.</w:t>
      </w:r>
      <w:r w:rsidR="00F13FFB" w:rsidRPr="002D0E2B">
        <w:rPr>
          <w:sz w:val="22"/>
          <w:szCs w:val="22"/>
        </w:rPr>
        <w:t>8</w:t>
      </w:r>
      <w:r w:rsidR="007369D4" w:rsidRPr="002D0E2B">
        <w:rPr>
          <w:sz w:val="22"/>
          <w:szCs w:val="22"/>
        </w:rPr>
        <w:tab/>
      </w:r>
      <w:r w:rsidR="00FB2A8E" w:rsidRPr="002D0E2B">
        <w:rPr>
          <w:sz w:val="22"/>
          <w:szCs w:val="22"/>
        </w:rPr>
        <w:t xml:space="preserve">Subcontractors are subject to a Due Diligence process ahead of any contracting.  New Subcontractors are supported through this process including, for example, registration with the UK Register of Learning Providers and, if necessary, the </w:t>
      </w:r>
      <w:r w:rsidR="0021658B">
        <w:rPr>
          <w:sz w:val="22"/>
          <w:szCs w:val="22"/>
        </w:rPr>
        <w:t xml:space="preserve">Education and </w:t>
      </w:r>
      <w:r w:rsidR="00FB2A8E" w:rsidRPr="002D0E2B">
        <w:rPr>
          <w:sz w:val="22"/>
          <w:szCs w:val="22"/>
        </w:rPr>
        <w:t xml:space="preserve">Skills Funding Agency’s Bravo Portal and the Quality Assurance Gateway </w:t>
      </w:r>
      <w:r w:rsidR="00DF0785" w:rsidRPr="002D0E2B">
        <w:rPr>
          <w:sz w:val="22"/>
          <w:szCs w:val="22"/>
        </w:rPr>
        <w:t>Pre-Qualification Questionnaire (PQQ)</w:t>
      </w:r>
      <w:r w:rsidR="00FB2A8E" w:rsidRPr="002D0E2B">
        <w:rPr>
          <w:sz w:val="22"/>
          <w:szCs w:val="22"/>
        </w:rPr>
        <w:t>.</w:t>
      </w:r>
    </w:p>
    <w:p w:rsidR="00B65961" w:rsidRDefault="00B65961" w:rsidP="007369D4">
      <w:pPr>
        <w:autoSpaceDE w:val="0"/>
        <w:autoSpaceDN w:val="0"/>
        <w:adjustRightInd w:val="0"/>
        <w:rPr>
          <w:rFonts w:ascii="Arial" w:hAnsi="Arial" w:cs="Arial"/>
          <w:color w:val="000000"/>
          <w:sz w:val="22"/>
          <w:szCs w:val="22"/>
        </w:rPr>
      </w:pPr>
    </w:p>
    <w:p w:rsidR="00B65961" w:rsidRPr="002D0E2B" w:rsidRDefault="00B65961" w:rsidP="007369D4">
      <w:pPr>
        <w:autoSpaceDE w:val="0"/>
        <w:autoSpaceDN w:val="0"/>
        <w:adjustRightInd w:val="0"/>
        <w:rPr>
          <w:rFonts w:ascii="Arial" w:hAnsi="Arial" w:cs="Arial"/>
          <w:color w:val="000000"/>
          <w:sz w:val="22"/>
          <w:szCs w:val="22"/>
        </w:rPr>
      </w:pPr>
    </w:p>
    <w:p w:rsidR="00FB2A8E" w:rsidRPr="002D0E2B" w:rsidRDefault="00774057" w:rsidP="007369D4">
      <w:pPr>
        <w:pStyle w:val="Default"/>
        <w:rPr>
          <w:b/>
          <w:sz w:val="22"/>
          <w:szCs w:val="22"/>
        </w:rPr>
      </w:pPr>
      <w:r>
        <w:rPr>
          <w:b/>
          <w:sz w:val="22"/>
          <w:szCs w:val="22"/>
        </w:rPr>
        <w:t>8</w:t>
      </w:r>
      <w:r w:rsidR="00B31E9E" w:rsidRPr="002D0E2B">
        <w:rPr>
          <w:b/>
          <w:sz w:val="22"/>
          <w:szCs w:val="22"/>
        </w:rPr>
        <w:t>.</w:t>
      </w:r>
      <w:r w:rsidR="00B31E9E" w:rsidRPr="002D0E2B">
        <w:rPr>
          <w:b/>
          <w:sz w:val="22"/>
          <w:szCs w:val="22"/>
        </w:rPr>
        <w:tab/>
      </w:r>
      <w:r w:rsidR="00B31E9E" w:rsidRPr="002D0E2B">
        <w:rPr>
          <w:b/>
          <w:sz w:val="22"/>
          <w:szCs w:val="22"/>
          <w:u w:val="single"/>
        </w:rPr>
        <w:t>Funding</w:t>
      </w:r>
      <w:r w:rsidR="00931DB1">
        <w:rPr>
          <w:b/>
          <w:sz w:val="22"/>
          <w:szCs w:val="22"/>
          <w:u w:val="single"/>
        </w:rPr>
        <w:t xml:space="preserve">, </w:t>
      </w:r>
      <w:r w:rsidR="00F35DCB">
        <w:rPr>
          <w:b/>
          <w:sz w:val="22"/>
          <w:szCs w:val="22"/>
          <w:u w:val="single"/>
        </w:rPr>
        <w:t>Charges</w:t>
      </w:r>
      <w:r w:rsidR="00931DB1">
        <w:rPr>
          <w:b/>
          <w:sz w:val="22"/>
          <w:szCs w:val="22"/>
          <w:u w:val="single"/>
        </w:rPr>
        <w:t xml:space="preserve"> and Services</w:t>
      </w:r>
    </w:p>
    <w:p w:rsidR="00681916" w:rsidRPr="002D0E2B" w:rsidRDefault="00681916" w:rsidP="00191B29">
      <w:pPr>
        <w:pStyle w:val="Default"/>
        <w:rPr>
          <w:sz w:val="22"/>
          <w:szCs w:val="22"/>
        </w:rPr>
      </w:pPr>
    </w:p>
    <w:p w:rsidR="007027BA" w:rsidRPr="002D0E2B" w:rsidRDefault="00774057" w:rsidP="007369D4">
      <w:pPr>
        <w:pStyle w:val="Default"/>
        <w:ind w:left="720" w:hanging="720"/>
        <w:rPr>
          <w:sz w:val="22"/>
          <w:szCs w:val="22"/>
        </w:rPr>
      </w:pPr>
      <w:r>
        <w:rPr>
          <w:sz w:val="22"/>
          <w:szCs w:val="22"/>
        </w:rPr>
        <w:t>8</w:t>
      </w:r>
      <w:r w:rsidR="004A4A83" w:rsidRPr="002D0E2B">
        <w:rPr>
          <w:sz w:val="22"/>
          <w:szCs w:val="22"/>
        </w:rPr>
        <w:t>.</w:t>
      </w:r>
      <w:r w:rsidR="00FB2A8E" w:rsidRPr="002D0E2B">
        <w:rPr>
          <w:sz w:val="22"/>
          <w:szCs w:val="22"/>
        </w:rPr>
        <w:t>1</w:t>
      </w:r>
      <w:r w:rsidR="007369D4" w:rsidRPr="002D0E2B">
        <w:rPr>
          <w:sz w:val="22"/>
          <w:szCs w:val="22"/>
        </w:rPr>
        <w:tab/>
      </w:r>
      <w:r w:rsidR="00681916" w:rsidRPr="002D0E2B">
        <w:rPr>
          <w:sz w:val="22"/>
          <w:szCs w:val="22"/>
        </w:rPr>
        <w:t xml:space="preserve">Where </w:t>
      </w:r>
      <w:r w:rsidR="004F1CE6">
        <w:rPr>
          <w:sz w:val="22"/>
          <w:szCs w:val="22"/>
        </w:rPr>
        <w:t xml:space="preserve">the </w:t>
      </w:r>
      <w:r w:rsidR="0021658B">
        <w:rPr>
          <w:sz w:val="22"/>
          <w:szCs w:val="22"/>
        </w:rPr>
        <w:t xml:space="preserve">Group </w:t>
      </w:r>
      <w:r w:rsidR="007027BA" w:rsidRPr="002D0E2B">
        <w:rPr>
          <w:sz w:val="22"/>
          <w:szCs w:val="22"/>
        </w:rPr>
        <w:t>subcontract</w:t>
      </w:r>
      <w:r w:rsidR="001F0BA8" w:rsidRPr="002D0E2B">
        <w:rPr>
          <w:sz w:val="22"/>
          <w:szCs w:val="22"/>
        </w:rPr>
        <w:t>s</w:t>
      </w:r>
      <w:r w:rsidR="007027BA" w:rsidRPr="002D0E2B">
        <w:rPr>
          <w:sz w:val="22"/>
          <w:szCs w:val="22"/>
        </w:rPr>
        <w:t xml:space="preserve"> provision which is funded via a formula funded route the fee retained is calculated as a percentage of the total contract value agreed with the subcontractor.  This percentage is typically between 15% and 30% </w:t>
      </w:r>
      <w:r w:rsidR="0094561B" w:rsidRPr="002D0E2B">
        <w:rPr>
          <w:sz w:val="22"/>
          <w:szCs w:val="22"/>
        </w:rPr>
        <w:t xml:space="preserve">of the income received from the </w:t>
      </w:r>
      <w:r w:rsidR="00002684">
        <w:rPr>
          <w:sz w:val="22"/>
          <w:szCs w:val="22"/>
        </w:rPr>
        <w:t>ESFA</w:t>
      </w:r>
      <w:r w:rsidR="0094561B" w:rsidRPr="002D0E2B">
        <w:rPr>
          <w:sz w:val="22"/>
          <w:szCs w:val="22"/>
        </w:rPr>
        <w:t xml:space="preserve"> </w:t>
      </w:r>
      <w:r w:rsidR="007027BA" w:rsidRPr="002D0E2B">
        <w:rPr>
          <w:sz w:val="22"/>
          <w:szCs w:val="22"/>
        </w:rPr>
        <w:t xml:space="preserve">and is dependent on the level of additional support required by the </w:t>
      </w:r>
      <w:r w:rsidR="00D51ED6" w:rsidRPr="002D0E2B">
        <w:rPr>
          <w:sz w:val="22"/>
          <w:szCs w:val="22"/>
        </w:rPr>
        <w:t>s</w:t>
      </w:r>
      <w:r w:rsidR="007027BA" w:rsidRPr="002D0E2B">
        <w:rPr>
          <w:sz w:val="22"/>
          <w:szCs w:val="22"/>
        </w:rPr>
        <w:t xml:space="preserve">ubcontractor over and above the management, administration and quality obligations of the </w:t>
      </w:r>
      <w:r w:rsidR="00100DC7">
        <w:rPr>
          <w:sz w:val="22"/>
          <w:szCs w:val="22"/>
        </w:rPr>
        <w:t>Group</w:t>
      </w:r>
      <w:r w:rsidR="007027BA" w:rsidRPr="002D0E2B">
        <w:rPr>
          <w:sz w:val="22"/>
          <w:szCs w:val="22"/>
        </w:rPr>
        <w:t>.</w:t>
      </w:r>
    </w:p>
    <w:p w:rsidR="00FB2A8E" w:rsidRPr="002D0E2B" w:rsidRDefault="00FB2A8E" w:rsidP="007369D4">
      <w:pPr>
        <w:pStyle w:val="Default"/>
        <w:rPr>
          <w:sz w:val="22"/>
          <w:szCs w:val="22"/>
        </w:rPr>
      </w:pPr>
    </w:p>
    <w:p w:rsidR="00FB2A8E" w:rsidRDefault="00774057" w:rsidP="007369D4">
      <w:pPr>
        <w:pStyle w:val="Default"/>
        <w:ind w:left="720" w:hanging="720"/>
        <w:rPr>
          <w:sz w:val="22"/>
          <w:szCs w:val="22"/>
        </w:rPr>
      </w:pPr>
      <w:r>
        <w:rPr>
          <w:sz w:val="22"/>
          <w:szCs w:val="22"/>
        </w:rPr>
        <w:t>8</w:t>
      </w:r>
      <w:r w:rsidR="00A76007" w:rsidRPr="002D0E2B">
        <w:rPr>
          <w:sz w:val="22"/>
          <w:szCs w:val="22"/>
        </w:rPr>
        <w:t>.</w:t>
      </w:r>
      <w:r w:rsidR="00D51ED6" w:rsidRPr="002D0E2B">
        <w:rPr>
          <w:sz w:val="22"/>
          <w:szCs w:val="22"/>
        </w:rPr>
        <w:t>2</w:t>
      </w:r>
      <w:r w:rsidR="007369D4" w:rsidRPr="002D0E2B">
        <w:rPr>
          <w:sz w:val="22"/>
          <w:szCs w:val="22"/>
        </w:rPr>
        <w:tab/>
      </w:r>
      <w:r w:rsidR="00FB2A8E" w:rsidRPr="002D0E2B">
        <w:rPr>
          <w:sz w:val="22"/>
          <w:szCs w:val="22"/>
        </w:rPr>
        <w:t xml:space="preserve">For experienced, long-term </w:t>
      </w:r>
      <w:r w:rsidR="00D51ED6" w:rsidRPr="002D0E2B">
        <w:rPr>
          <w:sz w:val="22"/>
          <w:szCs w:val="22"/>
        </w:rPr>
        <w:t>s</w:t>
      </w:r>
      <w:r w:rsidR="00FB2A8E" w:rsidRPr="002D0E2B">
        <w:rPr>
          <w:sz w:val="22"/>
          <w:szCs w:val="22"/>
        </w:rPr>
        <w:t xml:space="preserve">ubcontractors who do not require any additional support over and above the management, administration and quality obligations of the </w:t>
      </w:r>
      <w:r w:rsidR="00100DC7">
        <w:rPr>
          <w:sz w:val="22"/>
          <w:szCs w:val="22"/>
        </w:rPr>
        <w:t>Group</w:t>
      </w:r>
      <w:r w:rsidR="00FB2A8E" w:rsidRPr="002D0E2B">
        <w:rPr>
          <w:sz w:val="22"/>
          <w:szCs w:val="22"/>
        </w:rPr>
        <w:t>, the fee retained is 15%.</w:t>
      </w:r>
    </w:p>
    <w:p w:rsidR="00D51ED6" w:rsidRPr="002D0E2B" w:rsidRDefault="00D51ED6" w:rsidP="007369D4">
      <w:pPr>
        <w:pStyle w:val="Default"/>
        <w:rPr>
          <w:sz w:val="22"/>
          <w:szCs w:val="22"/>
        </w:rPr>
      </w:pPr>
    </w:p>
    <w:p w:rsidR="00FB2A8E" w:rsidRPr="002D0E2B" w:rsidRDefault="00774057" w:rsidP="00D51ED6">
      <w:pPr>
        <w:pStyle w:val="Default"/>
        <w:ind w:left="720" w:hanging="720"/>
        <w:rPr>
          <w:sz w:val="22"/>
          <w:szCs w:val="22"/>
        </w:rPr>
      </w:pPr>
      <w:r>
        <w:rPr>
          <w:sz w:val="22"/>
          <w:szCs w:val="22"/>
        </w:rPr>
        <w:t>8</w:t>
      </w:r>
      <w:r w:rsidR="00D51ED6" w:rsidRPr="002D0E2B">
        <w:rPr>
          <w:sz w:val="22"/>
          <w:szCs w:val="22"/>
        </w:rPr>
        <w:t>.3</w:t>
      </w:r>
      <w:r w:rsidR="00D51ED6" w:rsidRPr="002D0E2B">
        <w:rPr>
          <w:sz w:val="22"/>
          <w:szCs w:val="22"/>
        </w:rPr>
        <w:tab/>
        <w:t xml:space="preserve">A due diligence exercise is completed for each Subcontractor which includes checks on financial, capacity, capability and quality prior to any contracts being issued.  The </w:t>
      </w:r>
      <w:r w:rsidR="00F9478E">
        <w:rPr>
          <w:sz w:val="22"/>
          <w:szCs w:val="22"/>
        </w:rPr>
        <w:t xml:space="preserve">Services and costs will be determined following </w:t>
      </w:r>
      <w:r w:rsidR="00D51ED6" w:rsidRPr="002D0E2B">
        <w:rPr>
          <w:sz w:val="22"/>
          <w:szCs w:val="22"/>
        </w:rPr>
        <w:t xml:space="preserve">a </w:t>
      </w:r>
      <w:r w:rsidR="00FB2A8E" w:rsidRPr="002D0E2B">
        <w:rPr>
          <w:sz w:val="22"/>
          <w:szCs w:val="22"/>
        </w:rPr>
        <w:t xml:space="preserve">risk assessment of the </w:t>
      </w:r>
      <w:r w:rsidR="00D51ED6" w:rsidRPr="002D0E2B">
        <w:rPr>
          <w:sz w:val="22"/>
          <w:szCs w:val="22"/>
        </w:rPr>
        <w:t>S</w:t>
      </w:r>
      <w:r w:rsidR="00FB2A8E" w:rsidRPr="002D0E2B">
        <w:rPr>
          <w:sz w:val="22"/>
          <w:szCs w:val="22"/>
        </w:rPr>
        <w:t>ubcontractor and will include considerations such as:</w:t>
      </w:r>
    </w:p>
    <w:p w:rsidR="00D51ED6" w:rsidRPr="002D0E2B" w:rsidRDefault="00D51ED6" w:rsidP="00D51ED6">
      <w:pPr>
        <w:pStyle w:val="Default"/>
        <w:ind w:left="720" w:hanging="720"/>
        <w:rPr>
          <w:sz w:val="22"/>
          <w:szCs w:val="22"/>
        </w:rPr>
      </w:pPr>
    </w:p>
    <w:p w:rsidR="00FB2A8E" w:rsidRPr="002D0E2B" w:rsidRDefault="00FB2A8E" w:rsidP="008908E5">
      <w:pPr>
        <w:pStyle w:val="Default"/>
        <w:numPr>
          <w:ilvl w:val="0"/>
          <w:numId w:val="4"/>
        </w:numPr>
        <w:rPr>
          <w:sz w:val="22"/>
          <w:szCs w:val="22"/>
        </w:rPr>
      </w:pPr>
      <w:r w:rsidRPr="002D0E2B">
        <w:rPr>
          <w:sz w:val="22"/>
          <w:szCs w:val="22"/>
        </w:rPr>
        <w:t>Historical records of the Subcontractor to meet recruitment, retention, achievement, success and funding targets</w:t>
      </w:r>
      <w:r w:rsidR="00D51ED6" w:rsidRPr="002D0E2B">
        <w:rPr>
          <w:sz w:val="22"/>
          <w:szCs w:val="22"/>
        </w:rPr>
        <w:t>.</w:t>
      </w:r>
    </w:p>
    <w:p w:rsidR="00FB2A8E" w:rsidRPr="002D0E2B" w:rsidRDefault="00FB2A8E" w:rsidP="008908E5">
      <w:pPr>
        <w:pStyle w:val="Default"/>
        <w:numPr>
          <w:ilvl w:val="0"/>
          <w:numId w:val="4"/>
        </w:numPr>
        <w:rPr>
          <w:sz w:val="22"/>
          <w:szCs w:val="22"/>
        </w:rPr>
      </w:pPr>
      <w:r w:rsidRPr="002D0E2B">
        <w:rPr>
          <w:sz w:val="22"/>
          <w:szCs w:val="22"/>
        </w:rPr>
        <w:t>Records of the Subcontractor meeting or exceeding benchmark achievement and success targets</w:t>
      </w:r>
      <w:r w:rsidR="00D51ED6" w:rsidRPr="002D0E2B">
        <w:rPr>
          <w:sz w:val="22"/>
          <w:szCs w:val="22"/>
        </w:rPr>
        <w:t>.</w:t>
      </w:r>
    </w:p>
    <w:p w:rsidR="00FB2A8E" w:rsidRPr="002D0E2B" w:rsidRDefault="00FB2A8E" w:rsidP="008908E5">
      <w:pPr>
        <w:pStyle w:val="Default"/>
        <w:numPr>
          <w:ilvl w:val="0"/>
          <w:numId w:val="4"/>
        </w:numPr>
        <w:rPr>
          <w:sz w:val="22"/>
          <w:szCs w:val="22"/>
        </w:rPr>
      </w:pPr>
      <w:r w:rsidRPr="002D0E2B">
        <w:rPr>
          <w:sz w:val="22"/>
          <w:szCs w:val="22"/>
        </w:rPr>
        <w:t>Quality of provision delivered by the Subcontractor</w:t>
      </w:r>
      <w:r w:rsidR="00D51ED6" w:rsidRPr="002D0E2B">
        <w:rPr>
          <w:sz w:val="22"/>
          <w:szCs w:val="22"/>
        </w:rPr>
        <w:t>.</w:t>
      </w:r>
    </w:p>
    <w:p w:rsidR="00FB2A8E" w:rsidRPr="002D0E2B" w:rsidRDefault="00FB2A8E" w:rsidP="008908E5">
      <w:pPr>
        <w:pStyle w:val="Default"/>
        <w:numPr>
          <w:ilvl w:val="0"/>
          <w:numId w:val="4"/>
        </w:numPr>
        <w:rPr>
          <w:sz w:val="22"/>
          <w:szCs w:val="22"/>
        </w:rPr>
      </w:pPr>
      <w:r w:rsidRPr="002D0E2B">
        <w:rPr>
          <w:sz w:val="22"/>
          <w:szCs w:val="22"/>
        </w:rPr>
        <w:t xml:space="preserve">Existing length of relationship between </w:t>
      </w:r>
      <w:r w:rsidR="00873909">
        <w:rPr>
          <w:sz w:val="22"/>
          <w:szCs w:val="22"/>
        </w:rPr>
        <w:t>Group</w:t>
      </w:r>
      <w:r w:rsidRPr="002D0E2B">
        <w:rPr>
          <w:sz w:val="22"/>
          <w:szCs w:val="22"/>
        </w:rPr>
        <w:t xml:space="preserve"> and Subcontractor</w:t>
      </w:r>
      <w:r w:rsidR="00D51ED6" w:rsidRPr="002D0E2B">
        <w:rPr>
          <w:sz w:val="22"/>
          <w:szCs w:val="22"/>
        </w:rPr>
        <w:t>.</w:t>
      </w:r>
    </w:p>
    <w:p w:rsidR="00FB2A8E" w:rsidRPr="002D0E2B" w:rsidRDefault="00FB2A8E" w:rsidP="008908E5">
      <w:pPr>
        <w:pStyle w:val="Default"/>
        <w:numPr>
          <w:ilvl w:val="0"/>
          <w:numId w:val="4"/>
        </w:numPr>
        <w:rPr>
          <w:sz w:val="22"/>
          <w:szCs w:val="22"/>
        </w:rPr>
      </w:pPr>
      <w:r w:rsidRPr="002D0E2B">
        <w:rPr>
          <w:sz w:val="22"/>
          <w:szCs w:val="22"/>
        </w:rPr>
        <w:t xml:space="preserve">Financial health of the Subcontractor and its continued capacity to deliver provision on behalf of the </w:t>
      </w:r>
      <w:r w:rsidR="00873909">
        <w:rPr>
          <w:sz w:val="22"/>
          <w:szCs w:val="22"/>
        </w:rPr>
        <w:t>Group</w:t>
      </w:r>
      <w:r w:rsidR="00D51ED6" w:rsidRPr="002D0E2B">
        <w:rPr>
          <w:sz w:val="22"/>
          <w:szCs w:val="22"/>
        </w:rPr>
        <w:t>.</w:t>
      </w:r>
    </w:p>
    <w:p w:rsidR="00FB2A8E" w:rsidRPr="002D0E2B" w:rsidRDefault="00FB2A8E" w:rsidP="008908E5">
      <w:pPr>
        <w:pStyle w:val="Default"/>
        <w:numPr>
          <w:ilvl w:val="0"/>
          <w:numId w:val="4"/>
        </w:numPr>
        <w:rPr>
          <w:sz w:val="22"/>
          <w:szCs w:val="22"/>
        </w:rPr>
      </w:pPr>
      <w:r w:rsidRPr="002D0E2B">
        <w:rPr>
          <w:sz w:val="22"/>
          <w:szCs w:val="22"/>
        </w:rPr>
        <w:t>Adequate resourcing of subcontracted provision</w:t>
      </w:r>
      <w:r w:rsidR="00D51ED6" w:rsidRPr="002D0E2B">
        <w:rPr>
          <w:sz w:val="22"/>
          <w:szCs w:val="22"/>
        </w:rPr>
        <w:t>.</w:t>
      </w:r>
    </w:p>
    <w:p w:rsidR="00FB2A8E" w:rsidRPr="002D0E2B" w:rsidRDefault="00FB2A8E" w:rsidP="008908E5">
      <w:pPr>
        <w:pStyle w:val="Default"/>
        <w:numPr>
          <w:ilvl w:val="0"/>
          <w:numId w:val="4"/>
        </w:numPr>
        <w:rPr>
          <w:sz w:val="22"/>
          <w:szCs w:val="22"/>
        </w:rPr>
      </w:pPr>
      <w:r w:rsidRPr="002D0E2B">
        <w:rPr>
          <w:sz w:val="22"/>
          <w:szCs w:val="22"/>
        </w:rPr>
        <w:t>Size of the contract in terms of finance and volumes of learners</w:t>
      </w:r>
      <w:r w:rsidR="00D51ED6" w:rsidRPr="002D0E2B">
        <w:rPr>
          <w:sz w:val="22"/>
          <w:szCs w:val="22"/>
        </w:rPr>
        <w:t>.</w:t>
      </w:r>
    </w:p>
    <w:p w:rsidR="00FB2A8E" w:rsidRPr="002D0E2B" w:rsidRDefault="00FB2A8E" w:rsidP="008908E5">
      <w:pPr>
        <w:pStyle w:val="Default"/>
        <w:numPr>
          <w:ilvl w:val="0"/>
          <w:numId w:val="4"/>
        </w:numPr>
        <w:rPr>
          <w:sz w:val="22"/>
          <w:szCs w:val="22"/>
        </w:rPr>
      </w:pPr>
      <w:r w:rsidRPr="002D0E2B">
        <w:rPr>
          <w:sz w:val="22"/>
          <w:szCs w:val="22"/>
        </w:rPr>
        <w:t xml:space="preserve">Additional support required over and above the management, administration and quality obligations of the </w:t>
      </w:r>
      <w:r w:rsidR="00873909">
        <w:rPr>
          <w:sz w:val="22"/>
          <w:szCs w:val="22"/>
        </w:rPr>
        <w:t>Group</w:t>
      </w:r>
      <w:r w:rsidR="00D51ED6" w:rsidRPr="002D0E2B">
        <w:rPr>
          <w:sz w:val="22"/>
          <w:szCs w:val="22"/>
        </w:rPr>
        <w:t>.</w:t>
      </w:r>
    </w:p>
    <w:p w:rsidR="00FB2A8E" w:rsidRDefault="00FB2A8E" w:rsidP="007369D4">
      <w:pPr>
        <w:pStyle w:val="Default"/>
        <w:rPr>
          <w:sz w:val="22"/>
          <w:szCs w:val="22"/>
        </w:rPr>
      </w:pPr>
    </w:p>
    <w:p w:rsidR="00F35DCB" w:rsidRPr="0021658B" w:rsidRDefault="00F35DCB" w:rsidP="00F35DCB">
      <w:pPr>
        <w:pStyle w:val="Default"/>
        <w:ind w:left="720" w:hanging="720"/>
        <w:rPr>
          <w:sz w:val="22"/>
          <w:szCs w:val="22"/>
        </w:rPr>
      </w:pPr>
      <w:r w:rsidRPr="0021658B">
        <w:rPr>
          <w:sz w:val="22"/>
          <w:szCs w:val="22"/>
        </w:rPr>
        <w:t>8.4</w:t>
      </w:r>
      <w:r w:rsidRPr="0021658B">
        <w:rPr>
          <w:sz w:val="22"/>
          <w:szCs w:val="22"/>
        </w:rPr>
        <w:tab/>
        <w:t xml:space="preserve">Typically the Services provided </w:t>
      </w:r>
      <w:r w:rsidR="005C477E" w:rsidRPr="0021658B">
        <w:rPr>
          <w:sz w:val="22"/>
          <w:szCs w:val="22"/>
        </w:rPr>
        <w:t xml:space="preserve">to Subcontractors </w:t>
      </w:r>
      <w:r w:rsidR="00931DB1" w:rsidRPr="0021658B">
        <w:rPr>
          <w:sz w:val="22"/>
          <w:szCs w:val="22"/>
        </w:rPr>
        <w:t xml:space="preserve">fall into three groups </w:t>
      </w:r>
      <w:r w:rsidRPr="0021658B">
        <w:rPr>
          <w:sz w:val="22"/>
          <w:szCs w:val="22"/>
        </w:rPr>
        <w:t xml:space="preserve">are as detailed below, however, other services can be included as appropriate to the provision and </w:t>
      </w:r>
      <w:r w:rsidR="008908E5" w:rsidRPr="0021658B">
        <w:rPr>
          <w:sz w:val="22"/>
          <w:szCs w:val="22"/>
        </w:rPr>
        <w:t>requirements of</w:t>
      </w:r>
      <w:r w:rsidRPr="0021658B">
        <w:rPr>
          <w:sz w:val="22"/>
          <w:szCs w:val="22"/>
        </w:rPr>
        <w:t xml:space="preserve"> the Subcontracto</w:t>
      </w:r>
      <w:r w:rsidR="008908E5" w:rsidRPr="0021658B">
        <w:rPr>
          <w:sz w:val="22"/>
          <w:szCs w:val="22"/>
        </w:rPr>
        <w:t>r</w:t>
      </w:r>
      <w:r w:rsidRPr="0021658B">
        <w:rPr>
          <w:sz w:val="22"/>
          <w:szCs w:val="22"/>
        </w:rPr>
        <w:t>.</w:t>
      </w:r>
    </w:p>
    <w:p w:rsidR="00F35DCB" w:rsidRPr="0021658B" w:rsidRDefault="00F35DCB" w:rsidP="00F35DCB">
      <w:pPr>
        <w:pStyle w:val="Default"/>
        <w:ind w:left="720" w:hanging="720"/>
        <w:rPr>
          <w:sz w:val="22"/>
          <w:szCs w:val="22"/>
        </w:rPr>
      </w:pPr>
    </w:p>
    <w:p w:rsidR="00F35DCB" w:rsidRPr="0021658B" w:rsidRDefault="008908E5" w:rsidP="008908E5">
      <w:pPr>
        <w:pStyle w:val="Default"/>
        <w:rPr>
          <w:sz w:val="22"/>
          <w:szCs w:val="22"/>
        </w:rPr>
      </w:pPr>
      <w:r w:rsidRPr="0021658B">
        <w:rPr>
          <w:b/>
          <w:sz w:val="22"/>
          <w:szCs w:val="22"/>
        </w:rPr>
        <w:tab/>
      </w:r>
      <w:r w:rsidR="00F35DCB" w:rsidRPr="0021658B">
        <w:rPr>
          <w:b/>
          <w:sz w:val="22"/>
          <w:szCs w:val="22"/>
        </w:rPr>
        <w:t>Curriculum Delivery/Development</w:t>
      </w:r>
    </w:p>
    <w:p w:rsidR="00F35DCB" w:rsidRPr="0021658B" w:rsidRDefault="00F35DCB" w:rsidP="005C477E">
      <w:pPr>
        <w:pStyle w:val="ListParagraph"/>
        <w:numPr>
          <w:ilvl w:val="0"/>
          <w:numId w:val="13"/>
        </w:numPr>
        <w:shd w:val="clear" w:color="auto" w:fill="FFFFFF"/>
        <w:ind w:left="993"/>
        <w:rPr>
          <w:rFonts w:ascii="Arial" w:eastAsia="Times New Roman" w:hAnsi="Arial" w:cs="Arial"/>
          <w:color w:val="000000" w:themeColor="text1"/>
          <w:sz w:val="22"/>
          <w:szCs w:val="22"/>
          <w:lang w:eastAsia="en-GB"/>
        </w:rPr>
      </w:pPr>
      <w:r w:rsidRPr="0021658B">
        <w:rPr>
          <w:rFonts w:ascii="Arial" w:eastAsia="Times New Roman" w:hAnsi="Arial" w:cs="Arial"/>
          <w:color w:val="000000" w:themeColor="text1"/>
          <w:sz w:val="22"/>
          <w:szCs w:val="22"/>
          <w:lang w:eastAsia="en-GB"/>
        </w:rPr>
        <w:t>Curriculum planning, delivery and development advice</w:t>
      </w:r>
    </w:p>
    <w:p w:rsidR="00F35DCB" w:rsidRPr="0021658B" w:rsidRDefault="00F35DCB" w:rsidP="005C477E">
      <w:pPr>
        <w:pStyle w:val="ListParagraph"/>
        <w:numPr>
          <w:ilvl w:val="0"/>
          <w:numId w:val="13"/>
        </w:numPr>
        <w:shd w:val="clear" w:color="auto" w:fill="FFFFFF"/>
        <w:ind w:left="993"/>
        <w:rPr>
          <w:rFonts w:ascii="Arial" w:eastAsia="Times New Roman" w:hAnsi="Arial" w:cs="Arial"/>
          <w:color w:val="000000" w:themeColor="text1"/>
          <w:sz w:val="22"/>
          <w:szCs w:val="22"/>
          <w:lang w:eastAsia="en-GB"/>
        </w:rPr>
      </w:pPr>
      <w:r w:rsidRPr="0021658B">
        <w:rPr>
          <w:rFonts w:ascii="Arial" w:eastAsia="Times New Roman" w:hAnsi="Arial" w:cs="Arial"/>
          <w:color w:val="000000" w:themeColor="text1"/>
          <w:sz w:val="22"/>
          <w:szCs w:val="22"/>
          <w:lang w:eastAsia="en-GB"/>
        </w:rPr>
        <w:t>Skills updating sessions for delivery staff</w:t>
      </w:r>
    </w:p>
    <w:p w:rsidR="00F35DCB" w:rsidRPr="0021658B" w:rsidRDefault="00F35DCB" w:rsidP="005C477E">
      <w:pPr>
        <w:pStyle w:val="ListParagraph"/>
        <w:numPr>
          <w:ilvl w:val="0"/>
          <w:numId w:val="13"/>
        </w:numPr>
        <w:shd w:val="clear" w:color="auto" w:fill="FFFFFF"/>
        <w:ind w:left="993"/>
        <w:rPr>
          <w:rFonts w:ascii="Arial" w:eastAsia="Times New Roman" w:hAnsi="Arial" w:cs="Arial"/>
          <w:color w:val="000000" w:themeColor="text1"/>
          <w:sz w:val="22"/>
          <w:szCs w:val="22"/>
          <w:lang w:eastAsia="en-GB"/>
        </w:rPr>
      </w:pPr>
      <w:r w:rsidRPr="0021658B">
        <w:rPr>
          <w:rFonts w:ascii="Arial" w:eastAsia="Times New Roman" w:hAnsi="Arial" w:cs="Arial"/>
          <w:color w:val="000000" w:themeColor="text1"/>
          <w:sz w:val="22"/>
          <w:szCs w:val="22"/>
          <w:lang w:eastAsia="en-GB"/>
        </w:rPr>
        <w:t>Sharing of ‘Good Practice’</w:t>
      </w:r>
    </w:p>
    <w:p w:rsidR="00F35DCB" w:rsidRPr="0021658B" w:rsidRDefault="00F35DCB" w:rsidP="005C477E">
      <w:pPr>
        <w:pStyle w:val="ListParagraph"/>
        <w:numPr>
          <w:ilvl w:val="0"/>
          <w:numId w:val="13"/>
        </w:numPr>
        <w:shd w:val="clear" w:color="auto" w:fill="FFFFFF"/>
        <w:ind w:left="993"/>
        <w:rPr>
          <w:rFonts w:ascii="Arial" w:eastAsia="Times New Roman" w:hAnsi="Arial" w:cs="Arial"/>
          <w:color w:val="000000" w:themeColor="text1"/>
          <w:sz w:val="22"/>
          <w:szCs w:val="22"/>
          <w:lang w:eastAsia="en-GB"/>
        </w:rPr>
      </w:pPr>
      <w:r w:rsidRPr="0021658B">
        <w:rPr>
          <w:rFonts w:ascii="Arial" w:eastAsia="Times New Roman" w:hAnsi="Arial" w:cs="Arial"/>
          <w:color w:val="000000" w:themeColor="text1"/>
          <w:sz w:val="22"/>
          <w:szCs w:val="22"/>
          <w:lang w:eastAsia="en-GB"/>
        </w:rPr>
        <w:t>Regular site visits and meetings</w:t>
      </w:r>
    </w:p>
    <w:p w:rsidR="00F35DCB" w:rsidRPr="0021658B" w:rsidRDefault="00F35DCB" w:rsidP="008908E5">
      <w:pPr>
        <w:pStyle w:val="Default"/>
        <w:numPr>
          <w:ilvl w:val="0"/>
          <w:numId w:val="13"/>
        </w:numPr>
        <w:ind w:left="993"/>
        <w:rPr>
          <w:color w:val="000000" w:themeColor="text1"/>
          <w:sz w:val="22"/>
          <w:szCs w:val="22"/>
        </w:rPr>
      </w:pPr>
      <w:r w:rsidRPr="0021658B">
        <w:rPr>
          <w:color w:val="000000" w:themeColor="text1"/>
          <w:sz w:val="22"/>
          <w:szCs w:val="22"/>
        </w:rPr>
        <w:t>Where necessary, Health &amp; Safety assessments</w:t>
      </w:r>
    </w:p>
    <w:p w:rsidR="00F35DCB" w:rsidRPr="0021658B" w:rsidRDefault="00F35DCB" w:rsidP="008908E5">
      <w:pPr>
        <w:pStyle w:val="ListParagraph"/>
        <w:numPr>
          <w:ilvl w:val="0"/>
          <w:numId w:val="13"/>
        </w:numPr>
        <w:autoSpaceDE w:val="0"/>
        <w:autoSpaceDN w:val="0"/>
        <w:adjustRightInd w:val="0"/>
        <w:ind w:left="993"/>
        <w:rPr>
          <w:rFonts w:ascii="Arial" w:hAnsi="Arial" w:cs="Arial"/>
          <w:color w:val="000000" w:themeColor="text1"/>
          <w:sz w:val="22"/>
          <w:szCs w:val="22"/>
        </w:rPr>
      </w:pPr>
      <w:r w:rsidRPr="0021658B">
        <w:rPr>
          <w:rFonts w:ascii="Arial" w:hAnsi="Arial" w:cs="Arial"/>
          <w:color w:val="000000" w:themeColor="text1"/>
          <w:sz w:val="22"/>
          <w:szCs w:val="22"/>
        </w:rPr>
        <w:t xml:space="preserve">Where subcontractor is not matrix accredited IAG on delivery methods and </w:t>
      </w:r>
      <w:proofErr w:type="spellStart"/>
      <w:r w:rsidRPr="0021658B">
        <w:rPr>
          <w:rFonts w:ascii="Arial" w:hAnsi="Arial" w:cs="Arial"/>
          <w:color w:val="000000" w:themeColor="text1"/>
          <w:sz w:val="22"/>
          <w:szCs w:val="22"/>
        </w:rPr>
        <w:t>programme</w:t>
      </w:r>
      <w:proofErr w:type="spellEnd"/>
      <w:r w:rsidRPr="0021658B">
        <w:rPr>
          <w:rFonts w:ascii="Arial" w:hAnsi="Arial" w:cs="Arial"/>
          <w:color w:val="000000" w:themeColor="text1"/>
          <w:sz w:val="22"/>
          <w:szCs w:val="22"/>
        </w:rPr>
        <w:t xml:space="preserve"> delivery</w:t>
      </w:r>
    </w:p>
    <w:p w:rsidR="00F35DCB" w:rsidRPr="006B358D" w:rsidRDefault="00F35DCB" w:rsidP="00F35DCB">
      <w:pPr>
        <w:autoSpaceDE w:val="0"/>
        <w:autoSpaceDN w:val="0"/>
        <w:adjustRightInd w:val="0"/>
        <w:rPr>
          <w:color w:val="000000" w:themeColor="text1"/>
          <w:sz w:val="22"/>
          <w:szCs w:val="22"/>
          <w:highlight w:val="yellow"/>
        </w:rPr>
      </w:pPr>
    </w:p>
    <w:p w:rsidR="00F35DCB" w:rsidRPr="0021658B" w:rsidRDefault="00F35DCB" w:rsidP="008908E5">
      <w:pPr>
        <w:autoSpaceDE w:val="0"/>
        <w:autoSpaceDN w:val="0"/>
        <w:adjustRightInd w:val="0"/>
        <w:ind w:left="567"/>
        <w:rPr>
          <w:rFonts w:ascii="Arial" w:hAnsi="Arial" w:cs="Arial"/>
          <w:color w:val="000000" w:themeColor="text1"/>
          <w:sz w:val="22"/>
          <w:szCs w:val="22"/>
        </w:rPr>
      </w:pPr>
      <w:r w:rsidRPr="0021658B">
        <w:rPr>
          <w:rFonts w:ascii="Arial" w:hAnsi="Arial" w:cs="Arial"/>
          <w:b/>
          <w:sz w:val="22"/>
          <w:szCs w:val="22"/>
        </w:rPr>
        <w:t>Quality Assurance/Improvement</w:t>
      </w:r>
    </w:p>
    <w:p w:rsidR="00F35DCB" w:rsidRPr="0021658B" w:rsidRDefault="00F35DCB" w:rsidP="00931DB1">
      <w:pPr>
        <w:pStyle w:val="ListParagraph"/>
        <w:numPr>
          <w:ilvl w:val="0"/>
          <w:numId w:val="14"/>
        </w:numPr>
        <w:ind w:hanging="371"/>
        <w:rPr>
          <w:rFonts w:ascii="Arial" w:hAnsi="Arial" w:cs="Arial"/>
          <w:color w:val="000000" w:themeColor="text1"/>
          <w:sz w:val="22"/>
          <w:szCs w:val="22"/>
        </w:rPr>
      </w:pPr>
      <w:r w:rsidRPr="0021658B">
        <w:rPr>
          <w:rFonts w:ascii="Arial" w:hAnsi="Arial" w:cs="Arial"/>
          <w:color w:val="000000" w:themeColor="text1"/>
          <w:sz w:val="22"/>
          <w:szCs w:val="22"/>
        </w:rPr>
        <w:t>Quality meetings identifying good practice and areas for improvement</w:t>
      </w:r>
    </w:p>
    <w:p w:rsidR="00F35DCB" w:rsidRPr="0021658B" w:rsidRDefault="00F35DCB" w:rsidP="00931DB1">
      <w:pPr>
        <w:pStyle w:val="ListParagraph"/>
        <w:numPr>
          <w:ilvl w:val="0"/>
          <w:numId w:val="14"/>
        </w:numPr>
        <w:ind w:hanging="371"/>
        <w:rPr>
          <w:rFonts w:ascii="Arial" w:hAnsi="Arial" w:cs="Arial"/>
          <w:color w:val="000000" w:themeColor="text1"/>
          <w:sz w:val="22"/>
          <w:szCs w:val="22"/>
        </w:rPr>
      </w:pPr>
      <w:r w:rsidRPr="0021658B">
        <w:rPr>
          <w:rFonts w:ascii="Arial" w:hAnsi="Arial" w:cs="Arial"/>
          <w:color w:val="000000" w:themeColor="text1"/>
          <w:sz w:val="22"/>
          <w:szCs w:val="22"/>
        </w:rPr>
        <w:t xml:space="preserve">Sharing of good practice, advice and support to improve quality including training on the </w:t>
      </w:r>
      <w:r w:rsidR="00873909">
        <w:rPr>
          <w:rFonts w:ascii="Arial" w:hAnsi="Arial" w:cs="Arial"/>
          <w:color w:val="000000" w:themeColor="text1"/>
          <w:sz w:val="22"/>
          <w:szCs w:val="22"/>
        </w:rPr>
        <w:t>Group</w:t>
      </w:r>
      <w:r w:rsidRPr="0021658B">
        <w:rPr>
          <w:rFonts w:ascii="Arial" w:hAnsi="Arial" w:cs="Arial"/>
          <w:color w:val="000000" w:themeColor="text1"/>
          <w:sz w:val="22"/>
          <w:szCs w:val="22"/>
        </w:rPr>
        <w:t>’s quality documentation and processes</w:t>
      </w:r>
    </w:p>
    <w:p w:rsidR="00F35DCB" w:rsidRPr="0021658B" w:rsidRDefault="00F35DCB" w:rsidP="00931DB1">
      <w:pPr>
        <w:pStyle w:val="ListParagraph"/>
        <w:numPr>
          <w:ilvl w:val="0"/>
          <w:numId w:val="14"/>
        </w:numPr>
        <w:ind w:hanging="371"/>
        <w:rPr>
          <w:rFonts w:ascii="Arial" w:hAnsi="Arial" w:cs="Arial"/>
          <w:color w:val="000000" w:themeColor="text1"/>
          <w:sz w:val="22"/>
          <w:szCs w:val="22"/>
        </w:rPr>
      </w:pPr>
      <w:r w:rsidRPr="0021658B">
        <w:rPr>
          <w:rFonts w:ascii="Arial" w:hAnsi="Arial" w:cs="Arial"/>
          <w:color w:val="000000" w:themeColor="text1"/>
          <w:sz w:val="22"/>
          <w:szCs w:val="22"/>
        </w:rPr>
        <w:t xml:space="preserve">Access to all development and training opportunities available to all </w:t>
      </w:r>
      <w:r w:rsidR="00873909">
        <w:rPr>
          <w:rFonts w:ascii="Arial" w:hAnsi="Arial" w:cs="Arial"/>
          <w:color w:val="000000" w:themeColor="text1"/>
          <w:sz w:val="22"/>
          <w:szCs w:val="22"/>
        </w:rPr>
        <w:t xml:space="preserve">Group </w:t>
      </w:r>
      <w:r w:rsidRPr="0021658B">
        <w:rPr>
          <w:rFonts w:ascii="Arial" w:hAnsi="Arial" w:cs="Arial"/>
          <w:color w:val="000000" w:themeColor="text1"/>
          <w:sz w:val="22"/>
          <w:szCs w:val="22"/>
        </w:rPr>
        <w:t>staff</w:t>
      </w:r>
    </w:p>
    <w:p w:rsidR="00F35DCB" w:rsidRPr="0021658B" w:rsidRDefault="00F35DCB" w:rsidP="00931DB1">
      <w:pPr>
        <w:numPr>
          <w:ilvl w:val="0"/>
          <w:numId w:val="14"/>
        </w:numPr>
        <w:shd w:val="clear" w:color="auto" w:fill="FFFFFF"/>
        <w:ind w:hanging="371"/>
        <w:rPr>
          <w:rFonts w:ascii="Arial" w:hAnsi="Arial" w:cs="Arial"/>
          <w:color w:val="000000" w:themeColor="text1"/>
          <w:sz w:val="22"/>
          <w:szCs w:val="22"/>
        </w:rPr>
      </w:pPr>
      <w:r w:rsidRPr="0021658B">
        <w:rPr>
          <w:rFonts w:ascii="Arial" w:hAnsi="Arial" w:cs="Arial"/>
          <w:color w:val="000000" w:themeColor="text1"/>
          <w:sz w:val="22"/>
          <w:szCs w:val="22"/>
          <w:bdr w:val="none" w:sz="0" w:space="0" w:color="auto" w:frame="1"/>
        </w:rPr>
        <w:t>Monitoring visits to check learner files and schemes of work</w:t>
      </w:r>
    </w:p>
    <w:p w:rsidR="00F35DCB" w:rsidRPr="0021658B" w:rsidRDefault="00F35DCB" w:rsidP="00931DB1">
      <w:pPr>
        <w:numPr>
          <w:ilvl w:val="0"/>
          <w:numId w:val="14"/>
        </w:numPr>
        <w:shd w:val="clear" w:color="auto" w:fill="FFFFFF"/>
        <w:ind w:hanging="371"/>
        <w:rPr>
          <w:rFonts w:ascii="Arial" w:hAnsi="Arial" w:cs="Arial"/>
          <w:color w:val="000000" w:themeColor="text1"/>
          <w:sz w:val="22"/>
          <w:szCs w:val="22"/>
        </w:rPr>
      </w:pPr>
      <w:r w:rsidRPr="0021658B">
        <w:rPr>
          <w:rFonts w:ascii="Arial" w:hAnsi="Arial" w:cs="Arial"/>
          <w:color w:val="000000" w:themeColor="text1"/>
          <w:sz w:val="22"/>
          <w:szCs w:val="22"/>
          <w:bdr w:val="none" w:sz="0" w:space="0" w:color="auto" w:frame="1"/>
        </w:rPr>
        <w:t>Conducting observations of teaching and learning including constructive feedback.</w:t>
      </w:r>
    </w:p>
    <w:p w:rsidR="00F35DCB" w:rsidRPr="0021658B" w:rsidRDefault="00F35DCB" w:rsidP="008908E5">
      <w:pPr>
        <w:pStyle w:val="Default"/>
        <w:numPr>
          <w:ilvl w:val="0"/>
          <w:numId w:val="14"/>
        </w:numPr>
        <w:rPr>
          <w:sz w:val="22"/>
          <w:szCs w:val="22"/>
        </w:rPr>
      </w:pPr>
      <w:r w:rsidRPr="0021658B">
        <w:rPr>
          <w:color w:val="000000" w:themeColor="text1"/>
          <w:sz w:val="22"/>
          <w:szCs w:val="22"/>
        </w:rPr>
        <w:t xml:space="preserve">Where necessary, Internal Verification (IV) and assessor support can be provided by the </w:t>
      </w:r>
      <w:r w:rsidR="00873909">
        <w:rPr>
          <w:color w:val="000000" w:themeColor="text1"/>
          <w:sz w:val="22"/>
          <w:szCs w:val="22"/>
        </w:rPr>
        <w:t>Group</w:t>
      </w:r>
    </w:p>
    <w:p w:rsidR="00F35DCB" w:rsidRPr="0021658B" w:rsidRDefault="00F35DCB" w:rsidP="008908E5">
      <w:pPr>
        <w:pStyle w:val="Default"/>
        <w:ind w:left="1134" w:hanging="425"/>
        <w:rPr>
          <w:sz w:val="22"/>
          <w:szCs w:val="22"/>
        </w:rPr>
      </w:pPr>
    </w:p>
    <w:p w:rsidR="008908E5" w:rsidRPr="0021658B" w:rsidRDefault="008908E5" w:rsidP="008908E5">
      <w:pPr>
        <w:tabs>
          <w:tab w:val="left" w:pos="567"/>
        </w:tabs>
        <w:ind w:left="1134" w:hanging="425"/>
        <w:rPr>
          <w:rFonts w:ascii="Arial" w:hAnsi="Arial" w:cs="Arial"/>
          <w:color w:val="000000" w:themeColor="text1"/>
          <w:sz w:val="22"/>
          <w:szCs w:val="22"/>
        </w:rPr>
      </w:pPr>
      <w:r w:rsidRPr="0021658B">
        <w:rPr>
          <w:rFonts w:ascii="Arial" w:hAnsi="Arial" w:cs="Arial"/>
          <w:b/>
          <w:sz w:val="22"/>
          <w:szCs w:val="22"/>
        </w:rPr>
        <w:t>Contract Management/Administration</w:t>
      </w:r>
      <w:r w:rsidRPr="0021658B">
        <w:rPr>
          <w:rFonts w:ascii="Arial" w:hAnsi="Arial" w:cs="Arial"/>
          <w:color w:val="000000" w:themeColor="text1"/>
          <w:sz w:val="22"/>
          <w:szCs w:val="22"/>
        </w:rPr>
        <w:t xml:space="preserve"> </w:t>
      </w:r>
    </w:p>
    <w:p w:rsidR="008908E5" w:rsidRPr="0021658B" w:rsidRDefault="008908E5" w:rsidP="008908E5">
      <w:pPr>
        <w:pStyle w:val="ListParagraph"/>
        <w:numPr>
          <w:ilvl w:val="0"/>
          <w:numId w:val="6"/>
        </w:numPr>
        <w:ind w:left="1134" w:hanging="425"/>
        <w:rPr>
          <w:rFonts w:ascii="Arial" w:hAnsi="Arial" w:cs="Arial"/>
          <w:color w:val="000000" w:themeColor="text1"/>
          <w:sz w:val="22"/>
          <w:szCs w:val="22"/>
          <w:lang w:val="en-GB"/>
        </w:rPr>
      </w:pPr>
      <w:r w:rsidRPr="0021658B">
        <w:rPr>
          <w:rFonts w:ascii="Arial" w:hAnsi="Arial" w:cs="Arial"/>
          <w:color w:val="000000" w:themeColor="text1"/>
          <w:sz w:val="22"/>
          <w:szCs w:val="22"/>
          <w:lang w:val="en-GB"/>
        </w:rPr>
        <w:t>Regular performance management review meetings</w:t>
      </w:r>
    </w:p>
    <w:p w:rsidR="008908E5" w:rsidRPr="0021658B" w:rsidRDefault="008908E5" w:rsidP="008908E5">
      <w:pPr>
        <w:pStyle w:val="ListParagraph"/>
        <w:numPr>
          <w:ilvl w:val="0"/>
          <w:numId w:val="6"/>
        </w:numPr>
        <w:ind w:left="1134" w:hanging="425"/>
        <w:rPr>
          <w:rFonts w:ascii="Arial" w:hAnsi="Arial" w:cs="Arial"/>
          <w:color w:val="000000" w:themeColor="text1"/>
          <w:sz w:val="22"/>
          <w:szCs w:val="22"/>
          <w:lang w:val="en-GB"/>
        </w:rPr>
      </w:pPr>
      <w:r w:rsidRPr="0021658B">
        <w:rPr>
          <w:rFonts w:ascii="Arial" w:hAnsi="Arial" w:cs="Arial"/>
          <w:color w:val="000000" w:themeColor="text1"/>
          <w:sz w:val="22"/>
          <w:szCs w:val="22"/>
          <w:lang w:val="en-GB"/>
        </w:rPr>
        <w:t>Providing Management Information</w:t>
      </w:r>
    </w:p>
    <w:p w:rsidR="008908E5" w:rsidRPr="0021658B" w:rsidRDefault="008908E5" w:rsidP="008908E5">
      <w:pPr>
        <w:pStyle w:val="ListParagraph"/>
        <w:numPr>
          <w:ilvl w:val="0"/>
          <w:numId w:val="6"/>
        </w:numPr>
        <w:ind w:left="1134" w:hanging="425"/>
        <w:rPr>
          <w:rFonts w:ascii="Arial" w:hAnsi="Arial" w:cs="Arial"/>
          <w:color w:val="000000" w:themeColor="text1"/>
          <w:sz w:val="22"/>
          <w:szCs w:val="22"/>
          <w:lang w:val="en-GB"/>
        </w:rPr>
      </w:pPr>
      <w:r w:rsidRPr="0021658B">
        <w:rPr>
          <w:rFonts w:ascii="Arial" w:hAnsi="Arial" w:cs="Arial"/>
          <w:color w:val="000000" w:themeColor="text1"/>
          <w:sz w:val="22"/>
          <w:szCs w:val="22"/>
          <w:lang w:val="en-GB"/>
        </w:rPr>
        <w:t>Audit compliance advice and guidance</w:t>
      </w:r>
    </w:p>
    <w:p w:rsidR="008908E5" w:rsidRPr="0021658B" w:rsidRDefault="008908E5" w:rsidP="008908E5">
      <w:pPr>
        <w:pStyle w:val="ListParagraph"/>
        <w:numPr>
          <w:ilvl w:val="0"/>
          <w:numId w:val="6"/>
        </w:numPr>
        <w:ind w:left="1134" w:hanging="425"/>
        <w:rPr>
          <w:rFonts w:ascii="Arial" w:hAnsi="Arial" w:cs="Arial"/>
          <w:color w:val="000000" w:themeColor="text1"/>
          <w:sz w:val="22"/>
          <w:szCs w:val="22"/>
          <w:lang w:val="en-GB"/>
        </w:rPr>
      </w:pPr>
      <w:r w:rsidRPr="0021658B">
        <w:rPr>
          <w:rFonts w:ascii="Arial" w:hAnsi="Arial" w:cs="Arial"/>
          <w:color w:val="000000" w:themeColor="text1"/>
          <w:sz w:val="22"/>
          <w:szCs w:val="22"/>
          <w:lang w:val="en-GB"/>
        </w:rPr>
        <w:t>Funding and eligibility queries</w:t>
      </w:r>
    </w:p>
    <w:p w:rsidR="008908E5" w:rsidRPr="0021658B" w:rsidRDefault="008908E5" w:rsidP="008908E5">
      <w:pPr>
        <w:pStyle w:val="ListParagraph"/>
        <w:numPr>
          <w:ilvl w:val="0"/>
          <w:numId w:val="6"/>
        </w:numPr>
        <w:ind w:left="1134" w:hanging="425"/>
        <w:rPr>
          <w:rFonts w:ascii="Arial" w:hAnsi="Arial" w:cs="Arial"/>
          <w:color w:val="000000" w:themeColor="text1"/>
          <w:sz w:val="22"/>
          <w:szCs w:val="22"/>
          <w:lang w:val="en-GB"/>
        </w:rPr>
      </w:pPr>
      <w:r w:rsidRPr="0021658B">
        <w:rPr>
          <w:rFonts w:ascii="Arial" w:hAnsi="Arial" w:cs="Arial"/>
          <w:color w:val="000000" w:themeColor="text1"/>
          <w:sz w:val="22"/>
          <w:szCs w:val="22"/>
          <w:lang w:val="en-GB"/>
        </w:rPr>
        <w:t>Training for all relevant staff in completion of compliant paperwork</w:t>
      </w:r>
    </w:p>
    <w:p w:rsidR="008908E5" w:rsidRPr="0021658B" w:rsidRDefault="008908E5" w:rsidP="008908E5">
      <w:pPr>
        <w:pStyle w:val="ListParagraph"/>
        <w:numPr>
          <w:ilvl w:val="0"/>
          <w:numId w:val="6"/>
        </w:numPr>
        <w:ind w:left="1134" w:hanging="425"/>
        <w:rPr>
          <w:rFonts w:ascii="Arial" w:hAnsi="Arial" w:cs="Arial"/>
          <w:color w:val="000000" w:themeColor="text1"/>
          <w:sz w:val="22"/>
          <w:szCs w:val="22"/>
          <w:lang w:val="en-GB"/>
        </w:rPr>
      </w:pPr>
      <w:r w:rsidRPr="0021658B">
        <w:rPr>
          <w:rFonts w:ascii="Arial" w:hAnsi="Arial" w:cs="Arial"/>
          <w:color w:val="000000" w:themeColor="text1"/>
          <w:sz w:val="22"/>
          <w:szCs w:val="22"/>
          <w:lang w:val="en-GB"/>
        </w:rPr>
        <w:t xml:space="preserve">Advice on implementation of </w:t>
      </w:r>
      <w:r w:rsidR="00873909">
        <w:rPr>
          <w:rFonts w:ascii="Arial" w:hAnsi="Arial" w:cs="Arial"/>
          <w:color w:val="000000" w:themeColor="text1"/>
          <w:sz w:val="22"/>
          <w:szCs w:val="22"/>
          <w:lang w:val="en-GB"/>
        </w:rPr>
        <w:t>Group</w:t>
      </w:r>
      <w:r w:rsidRPr="0021658B">
        <w:rPr>
          <w:rFonts w:ascii="Arial" w:hAnsi="Arial" w:cs="Arial"/>
          <w:color w:val="000000" w:themeColor="text1"/>
          <w:sz w:val="22"/>
          <w:szCs w:val="22"/>
          <w:lang w:val="en-GB"/>
        </w:rPr>
        <w:t xml:space="preserve"> policies</w:t>
      </w:r>
    </w:p>
    <w:p w:rsidR="008908E5" w:rsidRPr="0021658B" w:rsidRDefault="008908E5" w:rsidP="008908E5">
      <w:pPr>
        <w:pStyle w:val="ListParagraph"/>
        <w:numPr>
          <w:ilvl w:val="0"/>
          <w:numId w:val="6"/>
        </w:numPr>
        <w:shd w:val="clear" w:color="auto" w:fill="FFFFFF"/>
        <w:ind w:left="1134" w:hanging="425"/>
        <w:rPr>
          <w:rFonts w:ascii="Arial" w:eastAsia="Times New Roman" w:hAnsi="Arial" w:cs="Arial"/>
          <w:color w:val="000000" w:themeColor="text1"/>
          <w:sz w:val="22"/>
          <w:szCs w:val="22"/>
          <w:lang w:eastAsia="en-GB"/>
        </w:rPr>
      </w:pPr>
      <w:r w:rsidRPr="0021658B">
        <w:rPr>
          <w:rFonts w:ascii="Arial" w:eastAsia="Times New Roman" w:hAnsi="Arial" w:cs="Arial"/>
          <w:color w:val="000000" w:themeColor="text1"/>
          <w:sz w:val="22"/>
          <w:szCs w:val="22"/>
          <w:bdr w:val="none" w:sz="0" w:space="0" w:color="auto" w:frame="1"/>
          <w:lang w:eastAsia="en-GB"/>
        </w:rPr>
        <w:t>Ongoing administration support including in-depth checks of evidence submitted and regular feedback on issues identified</w:t>
      </w:r>
    </w:p>
    <w:p w:rsidR="008908E5" w:rsidRPr="0021658B" w:rsidRDefault="008908E5" w:rsidP="008908E5">
      <w:pPr>
        <w:pStyle w:val="ListParagraph"/>
        <w:numPr>
          <w:ilvl w:val="0"/>
          <w:numId w:val="6"/>
        </w:numPr>
        <w:ind w:left="1134" w:hanging="425"/>
        <w:rPr>
          <w:rFonts w:ascii="Arial" w:hAnsi="Arial" w:cs="Arial"/>
          <w:color w:val="000000" w:themeColor="text1"/>
          <w:sz w:val="22"/>
          <w:szCs w:val="22"/>
          <w:lang w:val="en-GB"/>
        </w:rPr>
      </w:pPr>
      <w:r w:rsidRPr="0021658B">
        <w:rPr>
          <w:rFonts w:ascii="Arial" w:hAnsi="Arial" w:cs="Arial"/>
          <w:color w:val="000000" w:themeColor="text1"/>
          <w:sz w:val="22"/>
          <w:szCs w:val="22"/>
          <w:lang w:val="en-GB"/>
        </w:rPr>
        <w:t xml:space="preserve">Data input and submissions to the funder via the </w:t>
      </w:r>
      <w:r w:rsidR="00873909">
        <w:rPr>
          <w:rFonts w:ascii="Arial" w:hAnsi="Arial" w:cs="Arial"/>
          <w:color w:val="000000" w:themeColor="text1"/>
          <w:sz w:val="22"/>
          <w:szCs w:val="22"/>
          <w:lang w:val="en-GB"/>
        </w:rPr>
        <w:t>Group</w:t>
      </w:r>
      <w:r w:rsidRPr="0021658B">
        <w:rPr>
          <w:rFonts w:ascii="Arial" w:hAnsi="Arial" w:cs="Arial"/>
          <w:color w:val="000000" w:themeColor="text1"/>
          <w:sz w:val="22"/>
          <w:szCs w:val="22"/>
          <w:lang w:val="en-GB"/>
        </w:rPr>
        <w:t>’s Individualised Learner Record</w:t>
      </w:r>
    </w:p>
    <w:p w:rsidR="008908E5" w:rsidRPr="0021658B" w:rsidRDefault="008908E5" w:rsidP="008908E5">
      <w:pPr>
        <w:pStyle w:val="ListParagraph"/>
        <w:numPr>
          <w:ilvl w:val="0"/>
          <w:numId w:val="6"/>
        </w:numPr>
        <w:shd w:val="clear" w:color="auto" w:fill="FFFFFF"/>
        <w:ind w:left="1134" w:hanging="425"/>
        <w:rPr>
          <w:rFonts w:ascii="Arial" w:eastAsia="Times New Roman" w:hAnsi="Arial" w:cs="Arial"/>
          <w:color w:val="000000" w:themeColor="text1"/>
          <w:sz w:val="22"/>
          <w:szCs w:val="22"/>
          <w:lang w:eastAsia="en-GB"/>
        </w:rPr>
      </w:pPr>
      <w:r w:rsidRPr="0021658B">
        <w:rPr>
          <w:rFonts w:ascii="Arial" w:eastAsia="Times New Roman" w:hAnsi="Arial" w:cs="Arial"/>
          <w:color w:val="000000" w:themeColor="text1"/>
          <w:sz w:val="22"/>
          <w:szCs w:val="22"/>
          <w:bdr w:val="none" w:sz="0" w:space="0" w:color="auto" w:frame="1"/>
          <w:lang w:eastAsia="en-GB"/>
        </w:rPr>
        <w:t>Ongoing data self-assessment (</w:t>
      </w:r>
      <w:r w:rsidR="008F6BD5">
        <w:rPr>
          <w:rFonts w:ascii="Arial" w:eastAsia="Times New Roman" w:hAnsi="Arial" w:cs="Arial"/>
          <w:color w:val="000000" w:themeColor="text1"/>
          <w:sz w:val="22"/>
          <w:szCs w:val="22"/>
          <w:bdr w:val="none" w:sz="0" w:space="0" w:color="auto" w:frame="1"/>
          <w:lang w:eastAsia="en-GB"/>
        </w:rPr>
        <w:t>P</w:t>
      </w:r>
      <w:r w:rsidRPr="0021658B">
        <w:rPr>
          <w:rFonts w:ascii="Arial" w:eastAsia="Times New Roman" w:hAnsi="Arial" w:cs="Arial"/>
          <w:color w:val="000000" w:themeColor="text1"/>
          <w:sz w:val="22"/>
          <w:szCs w:val="22"/>
          <w:bdr w:val="none" w:sz="0" w:space="0" w:color="auto" w:frame="1"/>
          <w:lang w:eastAsia="en-GB"/>
        </w:rPr>
        <w:t>DSAT) checks on all subcontract delivery</w:t>
      </w:r>
    </w:p>
    <w:p w:rsidR="008908E5" w:rsidRPr="0021658B" w:rsidRDefault="008908E5" w:rsidP="008908E5">
      <w:pPr>
        <w:numPr>
          <w:ilvl w:val="0"/>
          <w:numId w:val="6"/>
        </w:numPr>
        <w:shd w:val="clear" w:color="auto" w:fill="FFFFFF"/>
        <w:ind w:left="1134" w:hanging="425"/>
        <w:rPr>
          <w:rFonts w:ascii="Arial" w:hAnsi="Arial" w:cs="Arial"/>
          <w:color w:val="000000" w:themeColor="text1"/>
          <w:sz w:val="22"/>
          <w:szCs w:val="22"/>
        </w:rPr>
      </w:pPr>
      <w:r w:rsidRPr="0021658B">
        <w:rPr>
          <w:rFonts w:ascii="Arial" w:hAnsi="Arial" w:cs="Arial"/>
          <w:color w:val="000000" w:themeColor="text1"/>
          <w:sz w:val="22"/>
          <w:szCs w:val="22"/>
          <w:bdr w:val="none" w:sz="0" w:space="0" w:color="auto" w:frame="1"/>
        </w:rPr>
        <w:t>The administration and processing of all subcontract provider electronic and hard copy documentation</w:t>
      </w:r>
    </w:p>
    <w:p w:rsidR="008908E5" w:rsidRPr="0021658B" w:rsidRDefault="008908E5" w:rsidP="008908E5">
      <w:pPr>
        <w:numPr>
          <w:ilvl w:val="0"/>
          <w:numId w:val="6"/>
        </w:numPr>
        <w:shd w:val="clear" w:color="auto" w:fill="FFFFFF"/>
        <w:ind w:left="1134" w:hanging="425"/>
        <w:rPr>
          <w:rFonts w:ascii="Arial" w:hAnsi="Arial" w:cs="Arial"/>
          <w:color w:val="000000" w:themeColor="text1"/>
          <w:sz w:val="22"/>
          <w:szCs w:val="22"/>
        </w:rPr>
      </w:pPr>
      <w:r w:rsidRPr="0021658B">
        <w:rPr>
          <w:rFonts w:ascii="Arial" w:hAnsi="Arial" w:cs="Arial"/>
          <w:color w:val="000000" w:themeColor="text1"/>
          <w:sz w:val="22"/>
          <w:szCs w:val="22"/>
          <w:bdr w:val="none" w:sz="0" w:space="0" w:color="auto" w:frame="1"/>
        </w:rPr>
        <w:t>Controlling and administering the due diligence process prior to contract award</w:t>
      </w:r>
    </w:p>
    <w:p w:rsidR="008908E5" w:rsidRPr="0021658B" w:rsidRDefault="008908E5" w:rsidP="008908E5">
      <w:pPr>
        <w:numPr>
          <w:ilvl w:val="0"/>
          <w:numId w:val="6"/>
        </w:numPr>
        <w:shd w:val="clear" w:color="auto" w:fill="FFFFFF"/>
        <w:ind w:left="1134" w:hanging="425"/>
        <w:rPr>
          <w:rFonts w:ascii="Arial" w:hAnsi="Arial" w:cs="Arial"/>
          <w:color w:val="000000" w:themeColor="text1"/>
          <w:sz w:val="22"/>
          <w:szCs w:val="22"/>
        </w:rPr>
      </w:pPr>
      <w:r w:rsidRPr="0021658B">
        <w:rPr>
          <w:rFonts w:ascii="Arial" w:hAnsi="Arial" w:cs="Arial"/>
          <w:color w:val="000000" w:themeColor="text1"/>
          <w:sz w:val="22"/>
          <w:szCs w:val="22"/>
          <w:bdr w:val="none" w:sz="0" w:space="0" w:color="auto" w:frame="1"/>
        </w:rPr>
        <w:t>Periodic updates of the due diligence process</w:t>
      </w:r>
    </w:p>
    <w:p w:rsidR="008908E5" w:rsidRPr="0021658B" w:rsidRDefault="008908E5" w:rsidP="008908E5">
      <w:pPr>
        <w:numPr>
          <w:ilvl w:val="0"/>
          <w:numId w:val="6"/>
        </w:numPr>
        <w:shd w:val="clear" w:color="auto" w:fill="FFFFFF"/>
        <w:ind w:left="1134" w:hanging="425"/>
        <w:rPr>
          <w:rFonts w:ascii="Arial" w:hAnsi="Arial" w:cs="Arial"/>
          <w:color w:val="000000" w:themeColor="text1"/>
          <w:sz w:val="22"/>
          <w:szCs w:val="22"/>
        </w:rPr>
      </w:pPr>
      <w:r w:rsidRPr="0021658B">
        <w:rPr>
          <w:rFonts w:ascii="Arial" w:hAnsi="Arial" w:cs="Arial"/>
          <w:color w:val="000000" w:themeColor="text1"/>
          <w:sz w:val="22"/>
          <w:szCs w:val="22"/>
          <w:bdr w:val="none" w:sz="0" w:space="0" w:color="auto" w:frame="1"/>
        </w:rPr>
        <w:t>Drafting and issuing the initial contracts</w:t>
      </w:r>
    </w:p>
    <w:p w:rsidR="008908E5" w:rsidRPr="0021658B" w:rsidRDefault="008908E5" w:rsidP="008908E5">
      <w:pPr>
        <w:numPr>
          <w:ilvl w:val="0"/>
          <w:numId w:val="6"/>
        </w:numPr>
        <w:shd w:val="clear" w:color="auto" w:fill="FFFFFF"/>
        <w:ind w:left="1134" w:hanging="425"/>
        <w:rPr>
          <w:rFonts w:ascii="Arial" w:hAnsi="Arial" w:cs="Arial"/>
          <w:color w:val="000000" w:themeColor="text1"/>
          <w:sz w:val="22"/>
          <w:szCs w:val="22"/>
        </w:rPr>
      </w:pPr>
      <w:r w:rsidRPr="0021658B">
        <w:rPr>
          <w:rFonts w:ascii="Arial" w:hAnsi="Arial" w:cs="Arial"/>
          <w:color w:val="000000" w:themeColor="text1"/>
          <w:sz w:val="22"/>
          <w:szCs w:val="22"/>
          <w:bdr w:val="none" w:sz="0" w:space="0" w:color="auto" w:frame="1"/>
        </w:rPr>
        <w:t>Issuing contractual variations as and when required</w:t>
      </w:r>
    </w:p>
    <w:p w:rsidR="008908E5" w:rsidRPr="0021658B" w:rsidRDefault="008908E5" w:rsidP="008908E5">
      <w:pPr>
        <w:pStyle w:val="ListParagraph"/>
        <w:numPr>
          <w:ilvl w:val="0"/>
          <w:numId w:val="6"/>
        </w:numPr>
        <w:autoSpaceDE w:val="0"/>
        <w:autoSpaceDN w:val="0"/>
        <w:adjustRightInd w:val="0"/>
        <w:ind w:left="1134"/>
        <w:rPr>
          <w:rFonts w:ascii="Arial" w:hAnsi="Arial" w:cs="Arial"/>
          <w:b/>
          <w:color w:val="000000"/>
          <w:sz w:val="22"/>
          <w:szCs w:val="22"/>
        </w:rPr>
      </w:pPr>
      <w:r w:rsidRPr="0021658B">
        <w:rPr>
          <w:rFonts w:ascii="Arial" w:hAnsi="Arial" w:cs="Arial"/>
          <w:color w:val="000000" w:themeColor="text1"/>
          <w:sz w:val="22"/>
          <w:szCs w:val="22"/>
          <w:bdr w:val="none" w:sz="0" w:space="0" w:color="auto" w:frame="1"/>
        </w:rPr>
        <w:t>Regular financial reports to inform invoicing</w:t>
      </w:r>
    </w:p>
    <w:p w:rsidR="008908E5" w:rsidRPr="0021658B" w:rsidRDefault="008908E5" w:rsidP="007369D4">
      <w:pPr>
        <w:pStyle w:val="Default"/>
        <w:rPr>
          <w:sz w:val="22"/>
          <w:szCs w:val="22"/>
        </w:rPr>
      </w:pPr>
    </w:p>
    <w:p w:rsidR="00931DB1" w:rsidRPr="0021658B" w:rsidRDefault="00931DB1" w:rsidP="00931DB1">
      <w:pPr>
        <w:pStyle w:val="Default"/>
        <w:ind w:left="720" w:hanging="720"/>
        <w:rPr>
          <w:sz w:val="22"/>
          <w:szCs w:val="22"/>
        </w:rPr>
      </w:pPr>
      <w:r w:rsidRPr="0021658B">
        <w:rPr>
          <w:sz w:val="22"/>
          <w:szCs w:val="22"/>
        </w:rPr>
        <w:t>8.5</w:t>
      </w:r>
      <w:r w:rsidRPr="0021658B">
        <w:rPr>
          <w:sz w:val="22"/>
          <w:szCs w:val="22"/>
        </w:rPr>
        <w:tab/>
        <w:t xml:space="preserve">Our Service Level Agreement, clearly identifies the Services which will be provided by the </w:t>
      </w:r>
      <w:r w:rsidR="00873909">
        <w:rPr>
          <w:sz w:val="22"/>
          <w:szCs w:val="22"/>
        </w:rPr>
        <w:t>Group</w:t>
      </w:r>
      <w:r w:rsidRPr="0021658B">
        <w:rPr>
          <w:sz w:val="22"/>
          <w:szCs w:val="22"/>
        </w:rPr>
        <w:t xml:space="preserve"> and charges which apply to each of the</w:t>
      </w:r>
      <w:r w:rsidR="00DB6C3B">
        <w:rPr>
          <w:sz w:val="22"/>
          <w:szCs w:val="22"/>
        </w:rPr>
        <w:t xml:space="preserve"> </w:t>
      </w:r>
      <w:r w:rsidR="00644384">
        <w:rPr>
          <w:sz w:val="22"/>
          <w:szCs w:val="22"/>
        </w:rPr>
        <w:t>Service Groupings</w:t>
      </w:r>
      <w:r w:rsidR="000170BC" w:rsidRPr="0021658B">
        <w:rPr>
          <w:sz w:val="22"/>
          <w:szCs w:val="22"/>
        </w:rPr>
        <w:t xml:space="preserve">.  </w:t>
      </w:r>
    </w:p>
    <w:p w:rsidR="000170BC" w:rsidRPr="0021658B" w:rsidRDefault="000170BC" w:rsidP="00931DB1">
      <w:pPr>
        <w:pStyle w:val="Default"/>
        <w:ind w:left="720" w:hanging="720"/>
        <w:rPr>
          <w:sz w:val="22"/>
          <w:szCs w:val="22"/>
        </w:rPr>
      </w:pPr>
    </w:p>
    <w:p w:rsidR="000170BC" w:rsidRPr="001221AB" w:rsidRDefault="00135903" w:rsidP="001221AB">
      <w:pPr>
        <w:ind w:left="720" w:hanging="720"/>
        <w:jc w:val="both"/>
        <w:rPr>
          <w:rFonts w:ascii="Arial" w:hAnsi="Arial" w:cs="Arial"/>
          <w:sz w:val="22"/>
          <w:szCs w:val="22"/>
        </w:rPr>
      </w:pPr>
      <w:r w:rsidRPr="0021658B">
        <w:rPr>
          <w:rFonts w:ascii="Arial" w:hAnsi="Arial" w:cs="Arial"/>
          <w:sz w:val="22"/>
          <w:szCs w:val="22"/>
        </w:rPr>
        <w:t>8.6</w:t>
      </w:r>
      <w:r w:rsidRPr="0021658B">
        <w:rPr>
          <w:rFonts w:ascii="Arial" w:hAnsi="Arial" w:cs="Arial"/>
          <w:sz w:val="22"/>
          <w:szCs w:val="22"/>
        </w:rPr>
        <w:tab/>
      </w:r>
      <w:r w:rsidR="00227C4B" w:rsidRPr="0021658B">
        <w:rPr>
          <w:rFonts w:ascii="Arial" w:hAnsi="Arial" w:cs="Arial"/>
          <w:sz w:val="22"/>
          <w:szCs w:val="22"/>
        </w:rPr>
        <w:t>Individual Service Level Agreements will identify the charges which will be apply based on the delivery of the full contract value and will identify the percentage that this charge reflects in relation to the overall value of the Agreement.  To ensure that these costs remain in proportion with the a</w:t>
      </w:r>
      <w:r w:rsidR="00644384">
        <w:rPr>
          <w:rFonts w:ascii="Arial" w:hAnsi="Arial" w:cs="Arial"/>
          <w:sz w:val="22"/>
          <w:szCs w:val="22"/>
        </w:rPr>
        <w:t>c</w:t>
      </w:r>
      <w:r w:rsidR="00227C4B" w:rsidRPr="0021658B">
        <w:rPr>
          <w:rFonts w:ascii="Arial" w:hAnsi="Arial" w:cs="Arial"/>
          <w:sz w:val="22"/>
          <w:szCs w:val="22"/>
        </w:rPr>
        <w:t xml:space="preserve">tual delivery of services, the </w:t>
      </w:r>
      <w:r w:rsidR="00873909">
        <w:rPr>
          <w:rFonts w:ascii="Arial" w:hAnsi="Arial" w:cs="Arial"/>
          <w:sz w:val="22"/>
          <w:szCs w:val="22"/>
        </w:rPr>
        <w:t>Group</w:t>
      </w:r>
      <w:r w:rsidR="00227C4B" w:rsidRPr="0021658B">
        <w:rPr>
          <w:rFonts w:ascii="Arial" w:hAnsi="Arial" w:cs="Arial"/>
          <w:sz w:val="22"/>
          <w:szCs w:val="22"/>
        </w:rPr>
        <w:t xml:space="preserve"> will retain the agreed percentage for the rate for the aim delivered.</w:t>
      </w:r>
      <w:r w:rsidR="00227C4B" w:rsidRPr="001221AB">
        <w:rPr>
          <w:rFonts w:ascii="Arial" w:hAnsi="Arial" w:cs="Arial"/>
          <w:sz w:val="22"/>
          <w:szCs w:val="22"/>
        </w:rPr>
        <w:t xml:space="preserve"> </w:t>
      </w:r>
    </w:p>
    <w:p w:rsidR="008908E5" w:rsidRPr="001221AB" w:rsidRDefault="008908E5" w:rsidP="007369D4">
      <w:pPr>
        <w:pStyle w:val="Default"/>
        <w:rPr>
          <w:sz w:val="22"/>
          <w:szCs w:val="22"/>
        </w:rPr>
      </w:pPr>
    </w:p>
    <w:p w:rsidR="00FB2A8E" w:rsidRPr="002D0E2B" w:rsidRDefault="00644384" w:rsidP="001221AB">
      <w:pPr>
        <w:pStyle w:val="Default"/>
        <w:numPr>
          <w:ilvl w:val="1"/>
          <w:numId w:val="15"/>
        </w:numPr>
        <w:ind w:left="720" w:hanging="720"/>
        <w:rPr>
          <w:sz w:val="22"/>
          <w:szCs w:val="22"/>
        </w:rPr>
      </w:pPr>
      <w:r>
        <w:rPr>
          <w:sz w:val="22"/>
          <w:szCs w:val="22"/>
        </w:rPr>
        <w:t>Our</w:t>
      </w:r>
      <w:r w:rsidR="00FB2A8E" w:rsidRPr="002D0E2B">
        <w:rPr>
          <w:sz w:val="22"/>
          <w:szCs w:val="22"/>
        </w:rPr>
        <w:t xml:space="preserve"> </w:t>
      </w:r>
      <w:r>
        <w:rPr>
          <w:sz w:val="22"/>
          <w:szCs w:val="22"/>
        </w:rPr>
        <w:t>s</w:t>
      </w:r>
      <w:r w:rsidR="00F9478E">
        <w:rPr>
          <w:sz w:val="22"/>
          <w:szCs w:val="22"/>
        </w:rPr>
        <w:t xml:space="preserve">ervices and </w:t>
      </w:r>
      <w:r>
        <w:rPr>
          <w:sz w:val="22"/>
          <w:szCs w:val="22"/>
        </w:rPr>
        <w:t>f</w:t>
      </w:r>
      <w:r w:rsidR="00F9478E">
        <w:rPr>
          <w:sz w:val="22"/>
          <w:szCs w:val="22"/>
        </w:rPr>
        <w:t>ee</w:t>
      </w:r>
      <w:r>
        <w:rPr>
          <w:sz w:val="22"/>
          <w:szCs w:val="22"/>
        </w:rPr>
        <w:t>s</w:t>
      </w:r>
      <w:r w:rsidR="00F9478E">
        <w:rPr>
          <w:sz w:val="22"/>
          <w:szCs w:val="22"/>
        </w:rPr>
        <w:t xml:space="preserve"> are</w:t>
      </w:r>
      <w:r w:rsidR="00D51ED6" w:rsidRPr="002D0E2B">
        <w:rPr>
          <w:sz w:val="22"/>
          <w:szCs w:val="22"/>
        </w:rPr>
        <w:t xml:space="preserve"> reviewed on an annual basis </w:t>
      </w:r>
      <w:r w:rsidR="00FB2A8E" w:rsidRPr="002D0E2B">
        <w:rPr>
          <w:sz w:val="22"/>
          <w:szCs w:val="22"/>
        </w:rPr>
        <w:t xml:space="preserve">and </w:t>
      </w:r>
      <w:r>
        <w:rPr>
          <w:sz w:val="22"/>
          <w:szCs w:val="22"/>
        </w:rPr>
        <w:t>are</w:t>
      </w:r>
      <w:r w:rsidR="00FB2A8E" w:rsidRPr="002D0E2B">
        <w:rPr>
          <w:sz w:val="22"/>
          <w:szCs w:val="22"/>
        </w:rPr>
        <w:t xml:space="preserve"> open to negotiation with each Subcontractor.  </w:t>
      </w:r>
      <w:r w:rsidR="00531AD5" w:rsidRPr="00531AD5">
        <w:rPr>
          <w:sz w:val="22"/>
          <w:szCs w:val="22"/>
        </w:rPr>
        <w:t xml:space="preserve">The services provided by the </w:t>
      </w:r>
      <w:r w:rsidR="00873909">
        <w:rPr>
          <w:sz w:val="22"/>
          <w:szCs w:val="22"/>
        </w:rPr>
        <w:t>Group</w:t>
      </w:r>
      <w:r w:rsidR="00531AD5" w:rsidRPr="00531AD5">
        <w:rPr>
          <w:sz w:val="22"/>
          <w:szCs w:val="22"/>
        </w:rPr>
        <w:t xml:space="preserve"> aim to ensure that the services delivered by this Agreement are high quality learning and fully compliant with the requirements placed on the </w:t>
      </w:r>
      <w:r w:rsidR="00873909">
        <w:rPr>
          <w:sz w:val="22"/>
          <w:szCs w:val="22"/>
        </w:rPr>
        <w:t>Group</w:t>
      </w:r>
      <w:r w:rsidR="00531AD5" w:rsidRPr="00531AD5">
        <w:rPr>
          <w:sz w:val="22"/>
          <w:szCs w:val="22"/>
        </w:rPr>
        <w:t xml:space="preserve"> by the Agency via its Guidelines.  </w:t>
      </w:r>
      <w:r w:rsidR="00FB2A8E" w:rsidRPr="002D0E2B">
        <w:rPr>
          <w:sz w:val="22"/>
          <w:szCs w:val="22"/>
        </w:rPr>
        <w:t>The agreed value will be confirmed within the signed contract between both</w:t>
      </w:r>
      <w:r w:rsidR="00A76007" w:rsidRPr="002D0E2B">
        <w:rPr>
          <w:sz w:val="22"/>
          <w:szCs w:val="22"/>
        </w:rPr>
        <w:t xml:space="preserve"> </w:t>
      </w:r>
      <w:r w:rsidR="00FB2A8E" w:rsidRPr="002D0E2B">
        <w:rPr>
          <w:sz w:val="22"/>
          <w:szCs w:val="22"/>
        </w:rPr>
        <w:t>parties</w:t>
      </w:r>
      <w:r w:rsidR="00D51ED6" w:rsidRPr="002D0E2B">
        <w:rPr>
          <w:sz w:val="22"/>
          <w:szCs w:val="22"/>
        </w:rPr>
        <w:t>.</w:t>
      </w:r>
    </w:p>
    <w:p w:rsidR="00D51ED6" w:rsidRPr="002D0E2B" w:rsidRDefault="00D51ED6" w:rsidP="00D51ED6">
      <w:pPr>
        <w:pStyle w:val="Default"/>
        <w:rPr>
          <w:sz w:val="22"/>
          <w:szCs w:val="22"/>
        </w:rPr>
      </w:pPr>
    </w:p>
    <w:p w:rsidR="005D71EA" w:rsidRPr="002D0E2B" w:rsidRDefault="00774057" w:rsidP="00B329E7">
      <w:pPr>
        <w:pStyle w:val="Default"/>
        <w:ind w:left="709" w:hanging="709"/>
        <w:rPr>
          <w:b/>
          <w:sz w:val="22"/>
          <w:szCs w:val="22"/>
        </w:rPr>
      </w:pPr>
      <w:r>
        <w:rPr>
          <w:sz w:val="22"/>
          <w:szCs w:val="22"/>
        </w:rPr>
        <w:t>8</w:t>
      </w:r>
      <w:r w:rsidR="00B329E7" w:rsidRPr="002D0E2B">
        <w:rPr>
          <w:sz w:val="22"/>
          <w:szCs w:val="22"/>
        </w:rPr>
        <w:t>.</w:t>
      </w:r>
      <w:r w:rsidR="001221AB">
        <w:rPr>
          <w:sz w:val="22"/>
          <w:szCs w:val="22"/>
        </w:rPr>
        <w:t>8</w:t>
      </w:r>
      <w:r w:rsidR="00B329E7" w:rsidRPr="002D0E2B">
        <w:rPr>
          <w:sz w:val="22"/>
          <w:szCs w:val="22"/>
        </w:rPr>
        <w:tab/>
      </w:r>
      <w:r w:rsidR="005D71EA" w:rsidRPr="002D0E2B">
        <w:rPr>
          <w:sz w:val="22"/>
          <w:szCs w:val="22"/>
        </w:rPr>
        <w:t xml:space="preserve">Where </w:t>
      </w:r>
      <w:r w:rsidR="00873909">
        <w:rPr>
          <w:sz w:val="22"/>
          <w:szCs w:val="22"/>
        </w:rPr>
        <w:t>the Group</w:t>
      </w:r>
      <w:r w:rsidR="005D71EA" w:rsidRPr="002D0E2B">
        <w:rPr>
          <w:sz w:val="22"/>
          <w:szCs w:val="22"/>
        </w:rPr>
        <w:t xml:space="preserve"> subcontract</w:t>
      </w:r>
      <w:r w:rsidR="00873909">
        <w:rPr>
          <w:sz w:val="22"/>
          <w:szCs w:val="22"/>
        </w:rPr>
        <w:t>s</w:t>
      </w:r>
      <w:r w:rsidR="005D71EA" w:rsidRPr="002D0E2B">
        <w:rPr>
          <w:sz w:val="22"/>
          <w:szCs w:val="22"/>
        </w:rPr>
        <w:t xml:space="preserve"> provision which is funded via a </w:t>
      </w:r>
      <w:r w:rsidR="00AA1545" w:rsidRPr="002D0E2B">
        <w:rPr>
          <w:sz w:val="22"/>
          <w:szCs w:val="22"/>
        </w:rPr>
        <w:t xml:space="preserve">Grant </w:t>
      </w:r>
      <w:r w:rsidR="005D71EA" w:rsidRPr="002D0E2B">
        <w:rPr>
          <w:sz w:val="22"/>
          <w:szCs w:val="22"/>
        </w:rPr>
        <w:t xml:space="preserve">rather than the formula funded route then Subcontractors </w:t>
      </w:r>
      <w:r>
        <w:rPr>
          <w:sz w:val="22"/>
          <w:szCs w:val="22"/>
        </w:rPr>
        <w:t xml:space="preserve">may be </w:t>
      </w:r>
      <w:r w:rsidR="005D71EA" w:rsidRPr="002D0E2B">
        <w:rPr>
          <w:sz w:val="22"/>
          <w:szCs w:val="22"/>
        </w:rPr>
        <w:t xml:space="preserve">invited to submit a proposal </w:t>
      </w:r>
      <w:r w:rsidR="00646A23" w:rsidRPr="002D0E2B">
        <w:rPr>
          <w:sz w:val="22"/>
          <w:szCs w:val="22"/>
        </w:rPr>
        <w:t>against a Prospectus outlining the types of activity that are sought and the funding rates for the different types of activity</w:t>
      </w:r>
      <w:r w:rsidR="005D71EA" w:rsidRPr="002D0E2B">
        <w:rPr>
          <w:sz w:val="22"/>
          <w:szCs w:val="22"/>
        </w:rPr>
        <w:t>.  No monies are retained from the Subcontractor in this instance</w:t>
      </w:r>
      <w:r w:rsidR="00B329E7" w:rsidRPr="002D0E2B">
        <w:rPr>
          <w:sz w:val="22"/>
          <w:szCs w:val="22"/>
        </w:rPr>
        <w:t xml:space="preserve">.  </w:t>
      </w:r>
    </w:p>
    <w:p w:rsidR="00B65961" w:rsidRDefault="00B65961" w:rsidP="007369D4">
      <w:pPr>
        <w:autoSpaceDE w:val="0"/>
        <w:autoSpaceDN w:val="0"/>
        <w:adjustRightInd w:val="0"/>
        <w:rPr>
          <w:rFonts w:ascii="Arial" w:hAnsi="Arial" w:cs="Arial"/>
          <w:b/>
          <w:color w:val="000000"/>
          <w:sz w:val="22"/>
          <w:szCs w:val="22"/>
        </w:rPr>
      </w:pPr>
    </w:p>
    <w:p w:rsidR="008A5E67" w:rsidRDefault="008A5E67">
      <w:pPr>
        <w:rPr>
          <w:rFonts w:ascii="Arial" w:hAnsi="Arial" w:cs="Arial"/>
          <w:b/>
          <w:color w:val="000000"/>
          <w:sz w:val="22"/>
          <w:szCs w:val="22"/>
        </w:rPr>
      </w:pPr>
    </w:p>
    <w:p w:rsidR="00FB2A8E" w:rsidRPr="002D0E2B" w:rsidRDefault="00774057" w:rsidP="007369D4">
      <w:pPr>
        <w:autoSpaceDE w:val="0"/>
        <w:autoSpaceDN w:val="0"/>
        <w:adjustRightInd w:val="0"/>
        <w:rPr>
          <w:rFonts w:ascii="Arial" w:hAnsi="Arial" w:cs="Arial"/>
          <w:b/>
          <w:color w:val="000000"/>
          <w:sz w:val="22"/>
          <w:szCs w:val="22"/>
        </w:rPr>
      </w:pPr>
      <w:r>
        <w:rPr>
          <w:rFonts w:ascii="Arial" w:hAnsi="Arial" w:cs="Arial"/>
          <w:b/>
          <w:color w:val="000000"/>
          <w:sz w:val="22"/>
          <w:szCs w:val="22"/>
        </w:rPr>
        <w:t>9</w:t>
      </w:r>
      <w:r w:rsidR="00B31E9E" w:rsidRPr="002D0E2B">
        <w:rPr>
          <w:rFonts w:ascii="Arial" w:hAnsi="Arial" w:cs="Arial"/>
          <w:b/>
          <w:color w:val="000000"/>
          <w:sz w:val="22"/>
          <w:szCs w:val="22"/>
        </w:rPr>
        <w:t>.</w:t>
      </w:r>
      <w:r w:rsidR="00B31E9E" w:rsidRPr="002D0E2B">
        <w:rPr>
          <w:rFonts w:ascii="Arial" w:hAnsi="Arial" w:cs="Arial"/>
          <w:b/>
          <w:color w:val="000000"/>
          <w:sz w:val="22"/>
          <w:szCs w:val="22"/>
        </w:rPr>
        <w:tab/>
      </w:r>
      <w:r w:rsidR="00B31E9E" w:rsidRPr="002D0E2B">
        <w:rPr>
          <w:rFonts w:ascii="Arial" w:hAnsi="Arial" w:cs="Arial"/>
          <w:b/>
          <w:bCs/>
          <w:color w:val="000000"/>
          <w:sz w:val="22"/>
          <w:szCs w:val="22"/>
          <w:u w:val="single"/>
        </w:rPr>
        <w:t>P</w:t>
      </w:r>
      <w:r w:rsidR="00A76007" w:rsidRPr="002D0E2B">
        <w:rPr>
          <w:rFonts w:ascii="Arial" w:hAnsi="Arial" w:cs="Arial"/>
          <w:b/>
          <w:bCs/>
          <w:color w:val="000000"/>
          <w:sz w:val="22"/>
          <w:szCs w:val="22"/>
          <w:u w:val="single"/>
        </w:rPr>
        <w:t>ayments</w:t>
      </w:r>
    </w:p>
    <w:p w:rsidR="00B31E9E" w:rsidRPr="002D0E2B" w:rsidRDefault="00B31E9E" w:rsidP="00E25EEF">
      <w:pPr>
        <w:autoSpaceDE w:val="0"/>
        <w:autoSpaceDN w:val="0"/>
        <w:adjustRightInd w:val="0"/>
        <w:ind w:left="720" w:hanging="720"/>
        <w:rPr>
          <w:rFonts w:ascii="Arial" w:hAnsi="Arial" w:cs="Arial"/>
          <w:color w:val="000000"/>
          <w:sz w:val="22"/>
          <w:szCs w:val="22"/>
        </w:rPr>
      </w:pPr>
    </w:p>
    <w:p w:rsidR="00FB2A8E" w:rsidRPr="002D0E2B" w:rsidRDefault="00774057" w:rsidP="00E25EEF">
      <w:pPr>
        <w:autoSpaceDE w:val="0"/>
        <w:autoSpaceDN w:val="0"/>
        <w:adjustRightInd w:val="0"/>
        <w:ind w:left="720" w:hanging="720"/>
        <w:rPr>
          <w:rFonts w:ascii="Arial" w:hAnsi="Arial" w:cs="Arial"/>
          <w:color w:val="000000"/>
          <w:sz w:val="22"/>
          <w:szCs w:val="22"/>
        </w:rPr>
      </w:pPr>
      <w:r>
        <w:rPr>
          <w:rFonts w:ascii="Arial" w:hAnsi="Arial" w:cs="Arial"/>
          <w:color w:val="000000"/>
          <w:sz w:val="22"/>
          <w:szCs w:val="22"/>
        </w:rPr>
        <w:t>9</w:t>
      </w:r>
      <w:r w:rsidR="00B31E9E" w:rsidRPr="002D0E2B">
        <w:rPr>
          <w:rFonts w:ascii="Arial" w:hAnsi="Arial" w:cs="Arial"/>
          <w:color w:val="000000"/>
          <w:sz w:val="22"/>
          <w:szCs w:val="22"/>
        </w:rPr>
        <w:t>.1</w:t>
      </w:r>
      <w:r w:rsidR="00B31E9E" w:rsidRPr="002D0E2B">
        <w:rPr>
          <w:rFonts w:ascii="Arial" w:hAnsi="Arial" w:cs="Arial"/>
          <w:color w:val="000000"/>
          <w:sz w:val="22"/>
          <w:szCs w:val="22"/>
        </w:rPr>
        <w:tab/>
      </w:r>
      <w:r w:rsidR="00145B6F" w:rsidRPr="002D0E2B">
        <w:rPr>
          <w:rFonts w:ascii="Arial" w:hAnsi="Arial" w:cs="Arial"/>
          <w:sz w:val="22"/>
          <w:szCs w:val="22"/>
        </w:rPr>
        <w:t xml:space="preserve">Where </w:t>
      </w:r>
      <w:r w:rsidR="004F1CE6">
        <w:rPr>
          <w:rFonts w:ascii="Arial" w:hAnsi="Arial" w:cs="Arial"/>
          <w:sz w:val="22"/>
          <w:szCs w:val="22"/>
        </w:rPr>
        <w:t>the</w:t>
      </w:r>
      <w:r w:rsidR="00145B6F" w:rsidRPr="002D0E2B">
        <w:rPr>
          <w:rFonts w:ascii="Arial" w:hAnsi="Arial" w:cs="Arial"/>
          <w:sz w:val="22"/>
          <w:szCs w:val="22"/>
        </w:rPr>
        <w:t xml:space="preserve"> </w:t>
      </w:r>
      <w:r w:rsidR="0021658B">
        <w:rPr>
          <w:rFonts w:ascii="Arial" w:hAnsi="Arial" w:cs="Arial"/>
          <w:sz w:val="22"/>
          <w:szCs w:val="22"/>
        </w:rPr>
        <w:t xml:space="preserve">Group </w:t>
      </w:r>
      <w:r w:rsidR="00145B6F" w:rsidRPr="002D0E2B">
        <w:rPr>
          <w:rFonts w:ascii="Arial" w:hAnsi="Arial" w:cs="Arial"/>
          <w:sz w:val="22"/>
          <w:szCs w:val="22"/>
        </w:rPr>
        <w:t>subcontract</w:t>
      </w:r>
      <w:r>
        <w:rPr>
          <w:rFonts w:ascii="Arial" w:hAnsi="Arial" w:cs="Arial"/>
          <w:sz w:val="22"/>
          <w:szCs w:val="22"/>
        </w:rPr>
        <w:t>s</w:t>
      </w:r>
      <w:r w:rsidR="00145B6F" w:rsidRPr="002D0E2B">
        <w:rPr>
          <w:rFonts w:ascii="Arial" w:hAnsi="Arial" w:cs="Arial"/>
          <w:sz w:val="22"/>
          <w:szCs w:val="22"/>
        </w:rPr>
        <w:t xml:space="preserve"> provision which is funded via a formula funded route </w:t>
      </w:r>
      <w:r w:rsidR="00145B6F" w:rsidRPr="002D0E2B">
        <w:rPr>
          <w:rFonts w:ascii="Arial" w:hAnsi="Arial" w:cs="Arial"/>
          <w:color w:val="000000"/>
          <w:sz w:val="22"/>
          <w:szCs w:val="22"/>
        </w:rPr>
        <w:t>p</w:t>
      </w:r>
      <w:r w:rsidR="00FB2A8E" w:rsidRPr="002D0E2B">
        <w:rPr>
          <w:rFonts w:ascii="Arial" w:hAnsi="Arial" w:cs="Arial"/>
          <w:color w:val="000000"/>
          <w:sz w:val="22"/>
          <w:szCs w:val="22"/>
        </w:rPr>
        <w:t xml:space="preserve">ayments to Subcontractors are calculated using the relevant </w:t>
      </w:r>
      <w:r>
        <w:rPr>
          <w:rFonts w:ascii="Arial" w:hAnsi="Arial" w:cs="Arial"/>
          <w:color w:val="000000"/>
          <w:sz w:val="22"/>
          <w:szCs w:val="22"/>
        </w:rPr>
        <w:t>ESFA funding rates</w:t>
      </w:r>
      <w:r w:rsidR="00FB2A8E" w:rsidRPr="002D0E2B">
        <w:rPr>
          <w:rFonts w:ascii="Arial" w:hAnsi="Arial" w:cs="Arial"/>
          <w:color w:val="000000"/>
          <w:sz w:val="22"/>
          <w:szCs w:val="22"/>
        </w:rPr>
        <w:t>.  This is communicated to each partner via a tracking document to ensure transparency.</w:t>
      </w:r>
      <w:r w:rsidR="0052750E">
        <w:rPr>
          <w:rFonts w:ascii="Arial" w:hAnsi="Arial" w:cs="Arial"/>
          <w:color w:val="000000"/>
          <w:sz w:val="22"/>
          <w:szCs w:val="22"/>
        </w:rPr>
        <w:t xml:space="preserve">  The exception to this is where Apprentice employers are working with </w:t>
      </w:r>
      <w:r w:rsidR="004F1CE6">
        <w:rPr>
          <w:rFonts w:ascii="Arial" w:hAnsi="Arial" w:cs="Arial"/>
          <w:color w:val="000000"/>
          <w:sz w:val="22"/>
          <w:szCs w:val="22"/>
        </w:rPr>
        <w:t xml:space="preserve">the </w:t>
      </w:r>
      <w:r w:rsidR="0021658B">
        <w:rPr>
          <w:rFonts w:ascii="Arial" w:hAnsi="Arial" w:cs="Arial"/>
          <w:color w:val="000000"/>
          <w:sz w:val="22"/>
          <w:szCs w:val="22"/>
        </w:rPr>
        <w:t xml:space="preserve">Group </w:t>
      </w:r>
      <w:r w:rsidR="0052750E">
        <w:rPr>
          <w:rFonts w:ascii="Arial" w:hAnsi="Arial" w:cs="Arial"/>
          <w:color w:val="000000"/>
          <w:sz w:val="22"/>
          <w:szCs w:val="22"/>
        </w:rPr>
        <w:t xml:space="preserve">to deliver agreed elements of an Apprenticeship Framework/Standard.  In this situation </w:t>
      </w:r>
      <w:r w:rsidR="004F1CE6">
        <w:rPr>
          <w:rFonts w:ascii="Arial" w:hAnsi="Arial" w:cs="Arial"/>
          <w:color w:val="000000"/>
          <w:sz w:val="22"/>
          <w:szCs w:val="22"/>
        </w:rPr>
        <w:t xml:space="preserve">the </w:t>
      </w:r>
      <w:r w:rsidR="0021658B">
        <w:rPr>
          <w:rFonts w:ascii="Arial" w:hAnsi="Arial" w:cs="Arial"/>
          <w:color w:val="000000"/>
          <w:sz w:val="22"/>
          <w:szCs w:val="22"/>
        </w:rPr>
        <w:t xml:space="preserve">Group </w:t>
      </w:r>
      <w:r w:rsidR="0052750E">
        <w:rPr>
          <w:rFonts w:ascii="Arial" w:hAnsi="Arial" w:cs="Arial"/>
          <w:color w:val="000000"/>
          <w:sz w:val="22"/>
          <w:szCs w:val="22"/>
        </w:rPr>
        <w:t>will ensure that the employers are compensated for their actual cost of delivery.</w:t>
      </w:r>
    </w:p>
    <w:p w:rsidR="00AA1545" w:rsidRPr="002D0E2B" w:rsidRDefault="00AA1545" w:rsidP="00E25EEF">
      <w:pPr>
        <w:autoSpaceDE w:val="0"/>
        <w:autoSpaceDN w:val="0"/>
        <w:adjustRightInd w:val="0"/>
        <w:ind w:left="720" w:hanging="720"/>
        <w:rPr>
          <w:rFonts w:ascii="Arial" w:hAnsi="Arial" w:cs="Arial"/>
          <w:color w:val="000000"/>
          <w:sz w:val="22"/>
          <w:szCs w:val="22"/>
        </w:rPr>
      </w:pPr>
    </w:p>
    <w:p w:rsidR="00AA1545" w:rsidRPr="002D0E2B" w:rsidRDefault="00774057" w:rsidP="00E25EEF">
      <w:pPr>
        <w:autoSpaceDE w:val="0"/>
        <w:autoSpaceDN w:val="0"/>
        <w:adjustRightInd w:val="0"/>
        <w:ind w:left="720" w:hanging="720"/>
        <w:rPr>
          <w:rFonts w:ascii="Arial" w:hAnsi="Arial" w:cs="Arial"/>
          <w:color w:val="000000"/>
          <w:sz w:val="22"/>
          <w:szCs w:val="22"/>
        </w:rPr>
      </w:pPr>
      <w:r>
        <w:rPr>
          <w:rFonts w:ascii="Arial" w:hAnsi="Arial" w:cs="Arial"/>
          <w:color w:val="000000"/>
          <w:sz w:val="22"/>
          <w:szCs w:val="22"/>
        </w:rPr>
        <w:t>9</w:t>
      </w:r>
      <w:r w:rsidR="00AA1545" w:rsidRPr="002D0E2B">
        <w:rPr>
          <w:rFonts w:ascii="Arial" w:hAnsi="Arial" w:cs="Arial"/>
          <w:color w:val="000000"/>
          <w:sz w:val="22"/>
          <w:szCs w:val="22"/>
        </w:rPr>
        <w:t>.2</w:t>
      </w:r>
      <w:r w:rsidR="00AA1545" w:rsidRPr="002D0E2B">
        <w:rPr>
          <w:rFonts w:ascii="Arial" w:hAnsi="Arial" w:cs="Arial"/>
          <w:color w:val="000000"/>
          <w:sz w:val="22"/>
          <w:szCs w:val="22"/>
        </w:rPr>
        <w:tab/>
      </w:r>
      <w:r w:rsidR="00AA1545" w:rsidRPr="002D0E2B">
        <w:rPr>
          <w:rFonts w:ascii="Arial" w:hAnsi="Arial" w:cs="Arial"/>
          <w:sz w:val="22"/>
          <w:szCs w:val="22"/>
        </w:rPr>
        <w:t xml:space="preserve">Where </w:t>
      </w:r>
      <w:r w:rsidR="004F1CE6">
        <w:rPr>
          <w:rFonts w:ascii="Arial" w:hAnsi="Arial" w:cs="Arial"/>
          <w:sz w:val="22"/>
          <w:szCs w:val="22"/>
        </w:rPr>
        <w:t>the</w:t>
      </w:r>
      <w:r w:rsidR="00AA1545" w:rsidRPr="002D0E2B">
        <w:rPr>
          <w:rFonts w:ascii="Arial" w:hAnsi="Arial" w:cs="Arial"/>
          <w:sz w:val="22"/>
          <w:szCs w:val="22"/>
        </w:rPr>
        <w:t xml:space="preserve"> </w:t>
      </w:r>
      <w:r w:rsidR="0021658B">
        <w:rPr>
          <w:rFonts w:ascii="Arial" w:hAnsi="Arial" w:cs="Arial"/>
          <w:sz w:val="22"/>
          <w:szCs w:val="22"/>
        </w:rPr>
        <w:t xml:space="preserve">Group </w:t>
      </w:r>
      <w:r w:rsidR="00AA1545" w:rsidRPr="002D0E2B">
        <w:rPr>
          <w:rFonts w:ascii="Arial" w:hAnsi="Arial" w:cs="Arial"/>
          <w:sz w:val="22"/>
          <w:szCs w:val="22"/>
        </w:rPr>
        <w:t>subcontract</w:t>
      </w:r>
      <w:r>
        <w:rPr>
          <w:rFonts w:ascii="Arial" w:hAnsi="Arial" w:cs="Arial"/>
          <w:sz w:val="22"/>
          <w:szCs w:val="22"/>
        </w:rPr>
        <w:t>s</w:t>
      </w:r>
      <w:r w:rsidR="00AA1545" w:rsidRPr="002D0E2B">
        <w:rPr>
          <w:rFonts w:ascii="Arial" w:hAnsi="Arial" w:cs="Arial"/>
          <w:sz w:val="22"/>
          <w:szCs w:val="22"/>
        </w:rPr>
        <w:t xml:space="preserve"> provision which is </w:t>
      </w:r>
      <w:r w:rsidR="00644384">
        <w:rPr>
          <w:rFonts w:ascii="Arial" w:hAnsi="Arial" w:cs="Arial"/>
          <w:sz w:val="22"/>
          <w:szCs w:val="22"/>
        </w:rPr>
        <w:t xml:space="preserve">Grant </w:t>
      </w:r>
      <w:r w:rsidR="00AA1545" w:rsidRPr="002D0E2B">
        <w:rPr>
          <w:rFonts w:ascii="Arial" w:hAnsi="Arial" w:cs="Arial"/>
          <w:sz w:val="22"/>
          <w:szCs w:val="22"/>
        </w:rPr>
        <w:t xml:space="preserve">funded </w:t>
      </w:r>
      <w:r w:rsidR="00644384">
        <w:rPr>
          <w:rFonts w:ascii="Arial" w:hAnsi="Arial" w:cs="Arial"/>
          <w:sz w:val="22"/>
          <w:szCs w:val="22"/>
        </w:rPr>
        <w:t xml:space="preserve">then </w:t>
      </w:r>
      <w:r w:rsidR="00AA1545" w:rsidRPr="002D0E2B">
        <w:rPr>
          <w:rFonts w:ascii="Arial" w:hAnsi="Arial" w:cs="Arial"/>
          <w:sz w:val="22"/>
          <w:szCs w:val="22"/>
        </w:rPr>
        <w:t xml:space="preserve">payments will be based on </w:t>
      </w:r>
      <w:r w:rsidR="00B329E7" w:rsidRPr="002D0E2B">
        <w:rPr>
          <w:rFonts w:ascii="Arial" w:hAnsi="Arial" w:cs="Arial"/>
          <w:sz w:val="22"/>
          <w:szCs w:val="22"/>
        </w:rPr>
        <w:t xml:space="preserve">unique </w:t>
      </w:r>
      <w:r w:rsidR="00AA1545" w:rsidRPr="002D0E2B">
        <w:rPr>
          <w:rFonts w:ascii="Arial" w:hAnsi="Arial" w:cs="Arial"/>
          <w:sz w:val="22"/>
          <w:szCs w:val="22"/>
        </w:rPr>
        <w:t xml:space="preserve">learners enrolled.  </w:t>
      </w:r>
    </w:p>
    <w:p w:rsidR="00FB2A8E" w:rsidRPr="002D0E2B" w:rsidRDefault="00FB2A8E" w:rsidP="007369D4">
      <w:pPr>
        <w:autoSpaceDE w:val="0"/>
        <w:autoSpaceDN w:val="0"/>
        <w:adjustRightInd w:val="0"/>
        <w:rPr>
          <w:rFonts w:ascii="Arial" w:hAnsi="Arial" w:cs="Arial"/>
          <w:color w:val="000000"/>
          <w:sz w:val="22"/>
          <w:szCs w:val="22"/>
        </w:rPr>
      </w:pPr>
    </w:p>
    <w:p w:rsidR="00FB2A8E" w:rsidRPr="002D0E2B" w:rsidRDefault="00774057" w:rsidP="007369D4">
      <w:pPr>
        <w:autoSpaceDE w:val="0"/>
        <w:autoSpaceDN w:val="0"/>
        <w:adjustRightInd w:val="0"/>
        <w:rPr>
          <w:rFonts w:ascii="Arial" w:hAnsi="Arial" w:cs="Arial"/>
          <w:color w:val="000000"/>
          <w:sz w:val="22"/>
          <w:szCs w:val="22"/>
        </w:rPr>
      </w:pPr>
      <w:r>
        <w:rPr>
          <w:rFonts w:ascii="Arial" w:hAnsi="Arial" w:cs="Arial"/>
          <w:color w:val="000000"/>
          <w:sz w:val="22"/>
          <w:szCs w:val="22"/>
        </w:rPr>
        <w:t>9</w:t>
      </w:r>
      <w:r w:rsidR="00B31E9E" w:rsidRPr="002D0E2B">
        <w:rPr>
          <w:rFonts w:ascii="Arial" w:hAnsi="Arial" w:cs="Arial"/>
          <w:color w:val="000000"/>
          <w:sz w:val="22"/>
          <w:szCs w:val="22"/>
        </w:rPr>
        <w:t>.</w:t>
      </w:r>
      <w:r w:rsidR="00B329E7" w:rsidRPr="002D0E2B">
        <w:rPr>
          <w:rFonts w:ascii="Arial" w:hAnsi="Arial" w:cs="Arial"/>
          <w:color w:val="000000"/>
          <w:sz w:val="22"/>
          <w:szCs w:val="22"/>
        </w:rPr>
        <w:t>3</w:t>
      </w:r>
      <w:r w:rsidR="00E25EEF" w:rsidRPr="002D0E2B">
        <w:rPr>
          <w:rFonts w:ascii="Arial" w:hAnsi="Arial" w:cs="Arial"/>
          <w:color w:val="000000"/>
          <w:sz w:val="22"/>
          <w:szCs w:val="22"/>
        </w:rPr>
        <w:tab/>
      </w:r>
      <w:r w:rsidR="00FB2A8E" w:rsidRPr="002D0E2B">
        <w:rPr>
          <w:rFonts w:ascii="Arial" w:hAnsi="Arial" w:cs="Arial"/>
          <w:color w:val="000000"/>
          <w:sz w:val="22"/>
          <w:szCs w:val="22"/>
        </w:rPr>
        <w:t>Payments to Subcontractors are subject to the management fee indicated in the contract.</w:t>
      </w:r>
    </w:p>
    <w:p w:rsidR="00FB2A8E" w:rsidRPr="002D0E2B" w:rsidRDefault="00FB2A8E" w:rsidP="007369D4">
      <w:pPr>
        <w:autoSpaceDE w:val="0"/>
        <w:autoSpaceDN w:val="0"/>
        <w:adjustRightInd w:val="0"/>
        <w:rPr>
          <w:rFonts w:ascii="Arial" w:hAnsi="Arial" w:cs="Arial"/>
          <w:color w:val="000000"/>
          <w:sz w:val="22"/>
          <w:szCs w:val="22"/>
        </w:rPr>
      </w:pPr>
    </w:p>
    <w:p w:rsidR="00FB2A8E" w:rsidRPr="002D0E2B" w:rsidRDefault="00774057" w:rsidP="00210FCB">
      <w:pPr>
        <w:autoSpaceDE w:val="0"/>
        <w:autoSpaceDN w:val="0"/>
        <w:adjustRightInd w:val="0"/>
        <w:ind w:left="720" w:hanging="720"/>
        <w:rPr>
          <w:rFonts w:ascii="Arial" w:hAnsi="Arial" w:cs="Arial"/>
          <w:color w:val="000000"/>
          <w:sz w:val="22"/>
          <w:szCs w:val="22"/>
        </w:rPr>
      </w:pPr>
      <w:r>
        <w:rPr>
          <w:rFonts w:ascii="Arial" w:hAnsi="Arial" w:cs="Arial"/>
          <w:color w:val="000000"/>
          <w:sz w:val="22"/>
          <w:szCs w:val="22"/>
        </w:rPr>
        <w:t>9</w:t>
      </w:r>
      <w:r w:rsidR="00A76007" w:rsidRPr="002D0E2B">
        <w:rPr>
          <w:rFonts w:ascii="Arial" w:hAnsi="Arial" w:cs="Arial"/>
          <w:color w:val="000000"/>
          <w:sz w:val="22"/>
          <w:szCs w:val="22"/>
        </w:rPr>
        <w:t>.</w:t>
      </w:r>
      <w:r w:rsidR="00B329E7" w:rsidRPr="002D0E2B">
        <w:rPr>
          <w:rFonts w:ascii="Arial" w:hAnsi="Arial" w:cs="Arial"/>
          <w:color w:val="000000"/>
          <w:sz w:val="22"/>
          <w:szCs w:val="22"/>
        </w:rPr>
        <w:t>4</w:t>
      </w:r>
      <w:r w:rsidR="00E25EEF" w:rsidRPr="002D0E2B">
        <w:rPr>
          <w:rFonts w:ascii="Arial" w:hAnsi="Arial" w:cs="Arial"/>
          <w:color w:val="000000"/>
          <w:sz w:val="22"/>
          <w:szCs w:val="22"/>
        </w:rPr>
        <w:tab/>
      </w:r>
      <w:r w:rsidR="00210FCB" w:rsidRPr="002D0E2B">
        <w:rPr>
          <w:rFonts w:ascii="Arial" w:hAnsi="Arial" w:cs="Arial"/>
          <w:sz w:val="22"/>
          <w:szCs w:val="22"/>
        </w:rPr>
        <w:t xml:space="preserve">Where </w:t>
      </w:r>
      <w:r w:rsidR="004F1CE6">
        <w:rPr>
          <w:rFonts w:ascii="Arial" w:hAnsi="Arial" w:cs="Arial"/>
          <w:sz w:val="22"/>
          <w:szCs w:val="22"/>
        </w:rPr>
        <w:t>the</w:t>
      </w:r>
      <w:r w:rsidR="00210FCB" w:rsidRPr="002D0E2B">
        <w:rPr>
          <w:rFonts w:ascii="Arial" w:hAnsi="Arial" w:cs="Arial"/>
          <w:sz w:val="22"/>
          <w:szCs w:val="22"/>
        </w:rPr>
        <w:t xml:space="preserve"> </w:t>
      </w:r>
      <w:r w:rsidR="0021658B">
        <w:rPr>
          <w:rFonts w:ascii="Arial" w:hAnsi="Arial" w:cs="Arial"/>
          <w:sz w:val="22"/>
          <w:szCs w:val="22"/>
        </w:rPr>
        <w:t xml:space="preserve">Group </w:t>
      </w:r>
      <w:r w:rsidR="00210FCB" w:rsidRPr="002D0E2B">
        <w:rPr>
          <w:rFonts w:ascii="Arial" w:hAnsi="Arial" w:cs="Arial"/>
          <w:sz w:val="22"/>
          <w:szCs w:val="22"/>
        </w:rPr>
        <w:t>subcontract</w:t>
      </w:r>
      <w:r>
        <w:rPr>
          <w:rFonts w:ascii="Arial" w:hAnsi="Arial" w:cs="Arial"/>
          <w:sz w:val="22"/>
          <w:szCs w:val="22"/>
        </w:rPr>
        <w:t>s</w:t>
      </w:r>
      <w:r w:rsidR="00210FCB" w:rsidRPr="002D0E2B">
        <w:rPr>
          <w:rFonts w:ascii="Arial" w:hAnsi="Arial" w:cs="Arial"/>
          <w:sz w:val="22"/>
          <w:szCs w:val="22"/>
        </w:rPr>
        <w:t xml:space="preserve"> provision which is funded via a formula funded route </w:t>
      </w:r>
      <w:r w:rsidR="00210FCB" w:rsidRPr="002D0E2B">
        <w:rPr>
          <w:rFonts w:ascii="Arial" w:hAnsi="Arial" w:cs="Arial"/>
          <w:color w:val="000000"/>
          <w:sz w:val="22"/>
          <w:szCs w:val="22"/>
        </w:rPr>
        <w:t>e</w:t>
      </w:r>
      <w:r w:rsidR="00FB2A8E" w:rsidRPr="002D0E2B">
        <w:rPr>
          <w:rFonts w:ascii="Arial" w:hAnsi="Arial" w:cs="Arial"/>
          <w:color w:val="000000"/>
          <w:sz w:val="22"/>
          <w:szCs w:val="22"/>
        </w:rPr>
        <w:t xml:space="preserve">ach payment to the Subcontractor is subject to an initial holdback of 20% of the payment value.  This element will subsequently be passed on to the Subcontractor following satisfactory delivery of the subcontract arrangement as per the contract and the successful sign-off of the </w:t>
      </w:r>
      <w:r w:rsidR="00DF0785" w:rsidRPr="002D0E2B">
        <w:rPr>
          <w:rFonts w:ascii="Arial" w:hAnsi="Arial" w:cs="Arial"/>
          <w:color w:val="000000"/>
          <w:sz w:val="22"/>
          <w:szCs w:val="22"/>
        </w:rPr>
        <w:t>Individual Learner Record (ILR)</w:t>
      </w:r>
      <w:r w:rsidR="00FB2A8E" w:rsidRPr="002D0E2B">
        <w:rPr>
          <w:rFonts w:ascii="Arial" w:hAnsi="Arial" w:cs="Arial"/>
          <w:color w:val="000000"/>
          <w:sz w:val="22"/>
          <w:szCs w:val="22"/>
        </w:rPr>
        <w:t xml:space="preserve"> for that academic year.</w:t>
      </w:r>
    </w:p>
    <w:p w:rsidR="00FB2A8E" w:rsidRPr="002D0E2B" w:rsidRDefault="00FB2A8E" w:rsidP="00210FCB">
      <w:pPr>
        <w:autoSpaceDE w:val="0"/>
        <w:autoSpaceDN w:val="0"/>
        <w:adjustRightInd w:val="0"/>
        <w:rPr>
          <w:rFonts w:ascii="Arial" w:hAnsi="Arial" w:cs="Arial"/>
          <w:color w:val="000000"/>
          <w:sz w:val="22"/>
          <w:szCs w:val="22"/>
        </w:rPr>
      </w:pPr>
    </w:p>
    <w:p w:rsidR="00210FCB" w:rsidRPr="002D0E2B" w:rsidRDefault="00774057" w:rsidP="00210FCB">
      <w:pPr>
        <w:pStyle w:val="NormalWeb"/>
        <w:spacing w:before="0" w:beforeAutospacing="0" w:after="0" w:afterAutospacing="0"/>
        <w:ind w:left="720" w:hanging="720"/>
        <w:rPr>
          <w:rFonts w:ascii="Arial" w:hAnsi="Arial" w:cs="Arial"/>
          <w:sz w:val="22"/>
          <w:szCs w:val="22"/>
        </w:rPr>
      </w:pPr>
      <w:r>
        <w:rPr>
          <w:rFonts w:ascii="Arial" w:hAnsi="Arial" w:cs="Arial"/>
          <w:sz w:val="22"/>
          <w:szCs w:val="22"/>
        </w:rPr>
        <w:t>9</w:t>
      </w:r>
      <w:r w:rsidR="00210FCB" w:rsidRPr="002D0E2B">
        <w:rPr>
          <w:rFonts w:ascii="Arial" w:hAnsi="Arial" w:cs="Arial"/>
          <w:sz w:val="22"/>
          <w:szCs w:val="22"/>
        </w:rPr>
        <w:t>.</w:t>
      </w:r>
      <w:r w:rsidR="00B329E7" w:rsidRPr="002D0E2B">
        <w:rPr>
          <w:rFonts w:ascii="Arial" w:hAnsi="Arial" w:cs="Arial"/>
          <w:sz w:val="22"/>
          <w:szCs w:val="22"/>
        </w:rPr>
        <w:t>5</w:t>
      </w:r>
      <w:r w:rsidR="00210FCB" w:rsidRPr="002D0E2B">
        <w:rPr>
          <w:rFonts w:ascii="Arial" w:hAnsi="Arial" w:cs="Arial"/>
          <w:sz w:val="22"/>
          <w:szCs w:val="22"/>
        </w:rPr>
        <w:tab/>
      </w:r>
      <w:r w:rsidR="004F1CE6">
        <w:rPr>
          <w:rFonts w:ascii="Arial" w:hAnsi="Arial" w:cs="Arial"/>
          <w:sz w:val="22"/>
          <w:szCs w:val="22"/>
        </w:rPr>
        <w:t>The</w:t>
      </w:r>
      <w:r w:rsidR="00B329E7" w:rsidRPr="002D0E2B">
        <w:rPr>
          <w:rFonts w:ascii="Arial" w:hAnsi="Arial" w:cs="Arial"/>
          <w:sz w:val="22"/>
          <w:szCs w:val="22"/>
        </w:rPr>
        <w:t xml:space="preserve"> </w:t>
      </w:r>
      <w:r w:rsidR="0021658B">
        <w:rPr>
          <w:rFonts w:ascii="Arial" w:hAnsi="Arial" w:cs="Arial"/>
          <w:sz w:val="22"/>
          <w:szCs w:val="22"/>
        </w:rPr>
        <w:t xml:space="preserve">Group </w:t>
      </w:r>
      <w:r w:rsidR="00210FCB" w:rsidRPr="002D0E2B">
        <w:rPr>
          <w:rFonts w:ascii="Arial" w:hAnsi="Arial" w:cs="Arial"/>
          <w:sz w:val="22"/>
          <w:szCs w:val="22"/>
        </w:rPr>
        <w:t>reserve</w:t>
      </w:r>
      <w:r w:rsidR="00B329E7" w:rsidRPr="002D0E2B">
        <w:rPr>
          <w:rFonts w:ascii="Arial" w:hAnsi="Arial" w:cs="Arial"/>
          <w:sz w:val="22"/>
          <w:szCs w:val="22"/>
        </w:rPr>
        <w:t>s</w:t>
      </w:r>
      <w:r w:rsidR="00210FCB" w:rsidRPr="002D0E2B">
        <w:rPr>
          <w:rFonts w:ascii="Arial" w:hAnsi="Arial" w:cs="Arial"/>
          <w:sz w:val="22"/>
          <w:szCs w:val="22"/>
        </w:rPr>
        <w:t xml:space="preserve"> the right to withhold funding where in our opinion we do not hold sufficient progression evidence to support any on </w:t>
      </w:r>
      <w:proofErr w:type="spellStart"/>
      <w:r w:rsidR="00210FCB" w:rsidRPr="002D0E2B">
        <w:rPr>
          <w:rFonts w:ascii="Arial" w:hAnsi="Arial" w:cs="Arial"/>
          <w:sz w:val="22"/>
          <w:szCs w:val="22"/>
        </w:rPr>
        <w:t>programme</w:t>
      </w:r>
      <w:proofErr w:type="spellEnd"/>
      <w:r w:rsidR="00210FCB" w:rsidRPr="002D0E2B">
        <w:rPr>
          <w:rFonts w:ascii="Arial" w:hAnsi="Arial" w:cs="Arial"/>
          <w:sz w:val="22"/>
          <w:szCs w:val="22"/>
        </w:rPr>
        <w:t xml:space="preserve"> payment, for example. </w:t>
      </w:r>
    </w:p>
    <w:p w:rsidR="00210FCB" w:rsidRPr="002D0E2B" w:rsidRDefault="00210FCB" w:rsidP="00210FCB">
      <w:pPr>
        <w:rPr>
          <w:rFonts w:ascii="Arial" w:hAnsi="Arial" w:cs="Arial"/>
          <w:color w:val="000000"/>
          <w:sz w:val="22"/>
          <w:szCs w:val="22"/>
        </w:rPr>
      </w:pPr>
    </w:p>
    <w:p w:rsidR="00FB2A8E" w:rsidRPr="002D0E2B" w:rsidRDefault="00774057" w:rsidP="00210FCB">
      <w:pPr>
        <w:autoSpaceDE w:val="0"/>
        <w:autoSpaceDN w:val="0"/>
        <w:adjustRightInd w:val="0"/>
        <w:ind w:left="720" w:hanging="720"/>
        <w:rPr>
          <w:rFonts w:ascii="Arial" w:hAnsi="Arial" w:cs="Arial"/>
          <w:color w:val="000000"/>
          <w:sz w:val="22"/>
          <w:szCs w:val="22"/>
        </w:rPr>
      </w:pPr>
      <w:r>
        <w:rPr>
          <w:rFonts w:ascii="Arial" w:hAnsi="Arial" w:cs="Arial"/>
          <w:color w:val="000000"/>
          <w:sz w:val="22"/>
          <w:szCs w:val="22"/>
        </w:rPr>
        <w:t>9</w:t>
      </w:r>
      <w:r w:rsidR="00A76007" w:rsidRPr="002D0E2B">
        <w:rPr>
          <w:rFonts w:ascii="Arial" w:hAnsi="Arial" w:cs="Arial"/>
          <w:color w:val="000000"/>
          <w:sz w:val="22"/>
          <w:szCs w:val="22"/>
        </w:rPr>
        <w:t>.</w:t>
      </w:r>
      <w:r w:rsidR="00B329E7" w:rsidRPr="002D0E2B">
        <w:rPr>
          <w:rFonts w:ascii="Arial" w:hAnsi="Arial" w:cs="Arial"/>
          <w:color w:val="000000"/>
          <w:sz w:val="22"/>
          <w:szCs w:val="22"/>
        </w:rPr>
        <w:t>6</w:t>
      </w:r>
      <w:r w:rsidR="00E25EEF" w:rsidRPr="002D0E2B">
        <w:rPr>
          <w:rFonts w:ascii="Arial" w:hAnsi="Arial" w:cs="Arial"/>
          <w:color w:val="000000"/>
          <w:sz w:val="22"/>
          <w:szCs w:val="22"/>
        </w:rPr>
        <w:tab/>
      </w:r>
      <w:r w:rsidR="00FB2A8E" w:rsidRPr="002D0E2B">
        <w:rPr>
          <w:rFonts w:ascii="Arial" w:hAnsi="Arial" w:cs="Arial"/>
          <w:color w:val="000000"/>
          <w:sz w:val="22"/>
          <w:szCs w:val="22"/>
        </w:rPr>
        <w:t>The payment profiles for each Subcontractor will be agreed within the contract between the parties.  Payment may, for example take place monthly, quarterly or following completion of a cohort of students</w:t>
      </w:r>
      <w:r w:rsidR="00210FCB" w:rsidRPr="002D0E2B">
        <w:rPr>
          <w:rFonts w:ascii="Arial" w:hAnsi="Arial" w:cs="Arial"/>
          <w:color w:val="000000"/>
          <w:sz w:val="22"/>
          <w:szCs w:val="22"/>
        </w:rPr>
        <w:t>.</w:t>
      </w:r>
    </w:p>
    <w:p w:rsidR="00FB2A8E" w:rsidRPr="002D0E2B" w:rsidRDefault="00FB2A8E" w:rsidP="00210FCB">
      <w:pPr>
        <w:autoSpaceDE w:val="0"/>
        <w:autoSpaceDN w:val="0"/>
        <w:adjustRightInd w:val="0"/>
        <w:rPr>
          <w:rFonts w:ascii="Arial" w:hAnsi="Arial" w:cs="Arial"/>
          <w:color w:val="000000"/>
          <w:sz w:val="22"/>
          <w:szCs w:val="22"/>
        </w:rPr>
      </w:pPr>
    </w:p>
    <w:p w:rsidR="00FB2A8E" w:rsidRPr="002D0E2B" w:rsidRDefault="00774057" w:rsidP="00210FCB">
      <w:pPr>
        <w:ind w:left="720" w:hanging="720"/>
        <w:rPr>
          <w:rFonts w:ascii="Arial" w:hAnsi="Arial" w:cs="Arial"/>
          <w:color w:val="000000"/>
          <w:sz w:val="22"/>
          <w:szCs w:val="22"/>
        </w:rPr>
      </w:pPr>
      <w:r>
        <w:rPr>
          <w:rFonts w:ascii="Arial" w:hAnsi="Arial" w:cs="Arial"/>
          <w:color w:val="000000"/>
          <w:sz w:val="22"/>
          <w:szCs w:val="22"/>
        </w:rPr>
        <w:t>9</w:t>
      </w:r>
      <w:r w:rsidR="00A76007" w:rsidRPr="002D0E2B">
        <w:rPr>
          <w:rFonts w:ascii="Arial" w:hAnsi="Arial" w:cs="Arial"/>
          <w:color w:val="000000"/>
          <w:sz w:val="22"/>
          <w:szCs w:val="22"/>
        </w:rPr>
        <w:t>.</w:t>
      </w:r>
      <w:r w:rsidR="00B329E7" w:rsidRPr="002D0E2B">
        <w:rPr>
          <w:rFonts w:ascii="Arial" w:hAnsi="Arial" w:cs="Arial"/>
          <w:color w:val="000000"/>
          <w:sz w:val="22"/>
          <w:szCs w:val="22"/>
        </w:rPr>
        <w:t>7</w:t>
      </w:r>
      <w:r w:rsidR="00E25EEF" w:rsidRPr="002D0E2B">
        <w:rPr>
          <w:rFonts w:ascii="Arial" w:hAnsi="Arial" w:cs="Arial"/>
          <w:color w:val="000000"/>
          <w:sz w:val="22"/>
          <w:szCs w:val="22"/>
        </w:rPr>
        <w:tab/>
      </w:r>
      <w:r w:rsidR="00FB2A8E" w:rsidRPr="002D0E2B">
        <w:rPr>
          <w:rFonts w:ascii="Arial" w:hAnsi="Arial" w:cs="Arial"/>
          <w:color w:val="000000"/>
          <w:sz w:val="22"/>
          <w:szCs w:val="22"/>
        </w:rPr>
        <w:t xml:space="preserve">For any payments to be made to the Subcontractor, the Subcontractor must conform to the terms and references within the contract and provide the required paperwork, data and information </w:t>
      </w:r>
      <w:r w:rsidR="00B329E7" w:rsidRPr="002D0E2B">
        <w:rPr>
          <w:rFonts w:ascii="Arial" w:hAnsi="Arial" w:cs="Arial"/>
          <w:color w:val="000000"/>
          <w:sz w:val="22"/>
          <w:szCs w:val="22"/>
        </w:rPr>
        <w:t xml:space="preserve">to enable </w:t>
      </w:r>
      <w:r w:rsidR="004F1CE6">
        <w:rPr>
          <w:rFonts w:ascii="Arial" w:hAnsi="Arial" w:cs="Arial"/>
          <w:color w:val="000000"/>
          <w:sz w:val="22"/>
          <w:szCs w:val="22"/>
        </w:rPr>
        <w:t>the</w:t>
      </w:r>
      <w:r w:rsidR="00FB2A8E" w:rsidRPr="002D0E2B">
        <w:rPr>
          <w:rFonts w:ascii="Arial" w:hAnsi="Arial" w:cs="Arial"/>
          <w:color w:val="000000"/>
          <w:sz w:val="22"/>
          <w:szCs w:val="22"/>
        </w:rPr>
        <w:t xml:space="preserve"> </w:t>
      </w:r>
      <w:r w:rsidR="0021658B">
        <w:rPr>
          <w:rFonts w:ascii="Arial" w:hAnsi="Arial" w:cs="Arial"/>
          <w:color w:val="000000"/>
          <w:sz w:val="22"/>
          <w:szCs w:val="22"/>
        </w:rPr>
        <w:t xml:space="preserve">Group </w:t>
      </w:r>
      <w:r w:rsidR="00FB2A8E" w:rsidRPr="002D0E2B">
        <w:rPr>
          <w:rFonts w:ascii="Arial" w:hAnsi="Arial" w:cs="Arial"/>
          <w:color w:val="000000"/>
          <w:sz w:val="22"/>
          <w:szCs w:val="22"/>
        </w:rPr>
        <w:t xml:space="preserve">to make a successful claim via its </w:t>
      </w:r>
      <w:r w:rsidR="00DF0785" w:rsidRPr="002D0E2B">
        <w:rPr>
          <w:rFonts w:ascii="Arial" w:hAnsi="Arial" w:cs="Arial"/>
          <w:color w:val="000000"/>
          <w:sz w:val="22"/>
          <w:szCs w:val="22"/>
        </w:rPr>
        <w:t xml:space="preserve">Individual Learner Record (ILR) </w:t>
      </w:r>
      <w:r w:rsidR="00FB2A8E" w:rsidRPr="002D0E2B">
        <w:rPr>
          <w:rFonts w:ascii="Arial" w:hAnsi="Arial" w:cs="Arial"/>
          <w:color w:val="000000"/>
          <w:sz w:val="22"/>
          <w:szCs w:val="22"/>
        </w:rPr>
        <w:t>to the relevant funding agency.</w:t>
      </w:r>
    </w:p>
    <w:p w:rsidR="009C7063" w:rsidRPr="002D0E2B" w:rsidRDefault="009C7063" w:rsidP="007369D4">
      <w:pPr>
        <w:rPr>
          <w:rFonts w:ascii="Arial" w:hAnsi="Arial" w:cs="Arial"/>
          <w:color w:val="000000"/>
          <w:sz w:val="22"/>
          <w:szCs w:val="22"/>
        </w:rPr>
      </w:pPr>
    </w:p>
    <w:p w:rsidR="00452711" w:rsidRPr="002D0E2B" w:rsidRDefault="00774057" w:rsidP="00B31E9E">
      <w:pPr>
        <w:ind w:left="720" w:hanging="720"/>
        <w:rPr>
          <w:rFonts w:ascii="Arial" w:hAnsi="Arial" w:cs="Arial"/>
          <w:sz w:val="22"/>
          <w:szCs w:val="22"/>
        </w:rPr>
      </w:pPr>
      <w:r>
        <w:rPr>
          <w:rFonts w:ascii="Arial" w:hAnsi="Arial" w:cs="Arial"/>
          <w:sz w:val="22"/>
          <w:szCs w:val="22"/>
        </w:rPr>
        <w:t>9</w:t>
      </w:r>
      <w:r w:rsidR="00B31E9E" w:rsidRPr="002D0E2B">
        <w:rPr>
          <w:rFonts w:ascii="Arial" w:hAnsi="Arial" w:cs="Arial"/>
          <w:sz w:val="22"/>
          <w:szCs w:val="22"/>
        </w:rPr>
        <w:t>.</w:t>
      </w:r>
      <w:r w:rsidR="008A5E67">
        <w:rPr>
          <w:rFonts w:ascii="Arial" w:hAnsi="Arial" w:cs="Arial"/>
          <w:sz w:val="22"/>
          <w:szCs w:val="22"/>
        </w:rPr>
        <w:t>8</w:t>
      </w:r>
      <w:r w:rsidR="00B31E9E" w:rsidRPr="002D0E2B">
        <w:rPr>
          <w:rFonts w:ascii="Arial" w:hAnsi="Arial" w:cs="Arial"/>
          <w:b/>
          <w:sz w:val="22"/>
          <w:szCs w:val="22"/>
        </w:rPr>
        <w:tab/>
      </w:r>
      <w:r w:rsidR="00452711" w:rsidRPr="002D0E2B">
        <w:rPr>
          <w:rFonts w:ascii="Arial" w:hAnsi="Arial" w:cs="Arial"/>
          <w:sz w:val="22"/>
          <w:szCs w:val="22"/>
        </w:rPr>
        <w:t xml:space="preserve">Payment will be made within 30 days of receipt of a valid invoice agreed by both parties, subject to compliance with the contractual terms.  </w:t>
      </w:r>
    </w:p>
    <w:p w:rsidR="00452711" w:rsidRDefault="00452711" w:rsidP="007369D4">
      <w:pPr>
        <w:rPr>
          <w:rFonts w:ascii="Arial" w:hAnsi="Arial" w:cs="Arial"/>
          <w:b/>
          <w:color w:val="000000"/>
          <w:sz w:val="22"/>
          <w:szCs w:val="22"/>
        </w:rPr>
      </w:pPr>
    </w:p>
    <w:p w:rsidR="00704885" w:rsidRPr="002D0E2B" w:rsidRDefault="00704885" w:rsidP="007369D4">
      <w:pPr>
        <w:rPr>
          <w:rFonts w:ascii="Arial" w:hAnsi="Arial" w:cs="Arial"/>
          <w:b/>
          <w:color w:val="000000"/>
          <w:sz w:val="22"/>
          <w:szCs w:val="22"/>
        </w:rPr>
      </w:pPr>
    </w:p>
    <w:p w:rsidR="00EF0806" w:rsidRPr="002D0E2B" w:rsidRDefault="00774057" w:rsidP="00EF0806">
      <w:pPr>
        <w:rPr>
          <w:rFonts w:ascii="Arial" w:hAnsi="Arial" w:cs="Arial"/>
          <w:b/>
          <w:sz w:val="22"/>
          <w:szCs w:val="22"/>
        </w:rPr>
      </w:pPr>
      <w:r>
        <w:rPr>
          <w:rFonts w:ascii="Arial" w:hAnsi="Arial" w:cs="Arial"/>
          <w:b/>
          <w:sz w:val="22"/>
          <w:szCs w:val="22"/>
        </w:rPr>
        <w:t>10</w:t>
      </w:r>
      <w:r w:rsidR="00EF0806" w:rsidRPr="002D0E2B">
        <w:rPr>
          <w:rFonts w:ascii="Arial" w:hAnsi="Arial" w:cs="Arial"/>
          <w:b/>
          <w:sz w:val="22"/>
          <w:szCs w:val="22"/>
        </w:rPr>
        <w:t>.</w:t>
      </w:r>
      <w:r w:rsidR="00EF0806" w:rsidRPr="002D0E2B">
        <w:rPr>
          <w:rFonts w:ascii="Arial" w:hAnsi="Arial" w:cs="Arial"/>
          <w:b/>
          <w:sz w:val="22"/>
          <w:szCs w:val="22"/>
        </w:rPr>
        <w:tab/>
      </w:r>
      <w:r w:rsidR="00EF0806" w:rsidRPr="002D0E2B">
        <w:rPr>
          <w:rFonts w:ascii="Arial" w:hAnsi="Arial" w:cs="Arial"/>
          <w:b/>
          <w:sz w:val="22"/>
          <w:szCs w:val="22"/>
          <w:u w:val="single"/>
        </w:rPr>
        <w:t>Contingency Plan</w:t>
      </w:r>
      <w:r w:rsidR="00EF0806" w:rsidRPr="002D0E2B">
        <w:rPr>
          <w:rFonts w:ascii="Arial" w:hAnsi="Arial" w:cs="Arial"/>
          <w:b/>
          <w:sz w:val="22"/>
          <w:szCs w:val="22"/>
        </w:rPr>
        <w:t xml:space="preserve"> </w:t>
      </w:r>
    </w:p>
    <w:p w:rsidR="00EF0806" w:rsidRPr="002D0E2B" w:rsidRDefault="00EF0806" w:rsidP="00EF0806">
      <w:pPr>
        <w:rPr>
          <w:rFonts w:ascii="Arial" w:hAnsi="Arial" w:cs="Arial"/>
          <w:sz w:val="22"/>
          <w:szCs w:val="22"/>
        </w:rPr>
      </w:pPr>
    </w:p>
    <w:p w:rsidR="00EF0806" w:rsidRPr="002D0E2B" w:rsidRDefault="004F1CE6" w:rsidP="004F1CE6">
      <w:pPr>
        <w:ind w:left="720" w:hanging="720"/>
        <w:rPr>
          <w:rFonts w:ascii="Arial" w:hAnsi="Arial" w:cs="Arial"/>
          <w:sz w:val="22"/>
          <w:szCs w:val="22"/>
        </w:rPr>
      </w:pPr>
      <w:r>
        <w:rPr>
          <w:rFonts w:ascii="Arial" w:hAnsi="Arial" w:cs="Arial"/>
          <w:sz w:val="22"/>
          <w:szCs w:val="22"/>
        </w:rPr>
        <w:t>10.1</w:t>
      </w:r>
      <w:r>
        <w:rPr>
          <w:rFonts w:ascii="Arial" w:hAnsi="Arial" w:cs="Arial"/>
          <w:sz w:val="22"/>
          <w:szCs w:val="22"/>
        </w:rPr>
        <w:tab/>
        <w:t>The</w:t>
      </w:r>
      <w:r w:rsidR="0078371D" w:rsidRPr="002D0E2B">
        <w:rPr>
          <w:rFonts w:ascii="Arial" w:hAnsi="Arial" w:cs="Arial"/>
          <w:sz w:val="22"/>
          <w:szCs w:val="22"/>
        </w:rPr>
        <w:t xml:space="preserve"> </w:t>
      </w:r>
      <w:r w:rsidR="000252A1">
        <w:rPr>
          <w:rFonts w:ascii="Arial" w:hAnsi="Arial" w:cs="Arial"/>
          <w:sz w:val="22"/>
          <w:szCs w:val="22"/>
        </w:rPr>
        <w:t xml:space="preserve">Group </w:t>
      </w:r>
      <w:r w:rsidR="0078371D" w:rsidRPr="002D0E2B">
        <w:rPr>
          <w:rFonts w:ascii="Arial" w:hAnsi="Arial" w:cs="Arial"/>
          <w:sz w:val="22"/>
          <w:szCs w:val="22"/>
        </w:rPr>
        <w:t>recognise</w:t>
      </w:r>
      <w:r w:rsidR="00440897" w:rsidRPr="002D0E2B">
        <w:rPr>
          <w:rFonts w:ascii="Arial" w:hAnsi="Arial" w:cs="Arial"/>
          <w:sz w:val="22"/>
          <w:szCs w:val="22"/>
        </w:rPr>
        <w:t>s</w:t>
      </w:r>
      <w:r w:rsidR="0078371D" w:rsidRPr="002D0E2B">
        <w:rPr>
          <w:rFonts w:ascii="Arial" w:hAnsi="Arial" w:cs="Arial"/>
          <w:sz w:val="22"/>
          <w:szCs w:val="22"/>
        </w:rPr>
        <w:t xml:space="preserve"> that the learners supported by its subcontractors are its </w:t>
      </w:r>
      <w:proofErr w:type="spellStart"/>
      <w:r w:rsidR="0078371D" w:rsidRPr="002D0E2B">
        <w:rPr>
          <w:rFonts w:ascii="Arial" w:hAnsi="Arial" w:cs="Arial"/>
          <w:sz w:val="22"/>
          <w:szCs w:val="22"/>
        </w:rPr>
        <w:t>re</w:t>
      </w:r>
      <w:r w:rsidR="00440897" w:rsidRPr="002D0E2B">
        <w:rPr>
          <w:rFonts w:ascii="Arial" w:hAnsi="Arial" w:cs="Arial"/>
          <w:sz w:val="22"/>
          <w:szCs w:val="22"/>
        </w:rPr>
        <w:t>sponsibilty</w:t>
      </w:r>
      <w:proofErr w:type="spellEnd"/>
      <w:r w:rsidR="0078371D" w:rsidRPr="002D0E2B">
        <w:rPr>
          <w:rFonts w:ascii="Arial" w:hAnsi="Arial" w:cs="Arial"/>
          <w:sz w:val="22"/>
          <w:szCs w:val="22"/>
        </w:rPr>
        <w:t>.  Therefore, i</w:t>
      </w:r>
      <w:r w:rsidR="00EF0806" w:rsidRPr="002D0E2B">
        <w:rPr>
          <w:rFonts w:ascii="Arial" w:hAnsi="Arial" w:cs="Arial"/>
          <w:sz w:val="22"/>
          <w:szCs w:val="22"/>
        </w:rPr>
        <w:t xml:space="preserve">f for any reason, financial or otherwise, a </w:t>
      </w:r>
      <w:r w:rsidR="00440897" w:rsidRPr="002D0E2B">
        <w:rPr>
          <w:rFonts w:ascii="Arial" w:hAnsi="Arial" w:cs="Arial"/>
          <w:sz w:val="22"/>
          <w:szCs w:val="22"/>
        </w:rPr>
        <w:t>S</w:t>
      </w:r>
      <w:r w:rsidR="00EF0806" w:rsidRPr="002D0E2B">
        <w:rPr>
          <w:rFonts w:ascii="Arial" w:hAnsi="Arial" w:cs="Arial"/>
          <w:sz w:val="22"/>
          <w:szCs w:val="22"/>
        </w:rPr>
        <w:t xml:space="preserve">ubcontractor is unable to continue delivery either temporarily or permanently; </w:t>
      </w:r>
      <w:r>
        <w:rPr>
          <w:rFonts w:ascii="Arial" w:hAnsi="Arial" w:cs="Arial"/>
          <w:sz w:val="22"/>
          <w:szCs w:val="22"/>
        </w:rPr>
        <w:t>the</w:t>
      </w:r>
      <w:r w:rsidR="00EF0806" w:rsidRPr="002D0E2B">
        <w:rPr>
          <w:rFonts w:ascii="Arial" w:hAnsi="Arial" w:cs="Arial"/>
          <w:sz w:val="22"/>
          <w:szCs w:val="22"/>
        </w:rPr>
        <w:t xml:space="preserve"> </w:t>
      </w:r>
      <w:r w:rsidR="000252A1">
        <w:rPr>
          <w:rFonts w:ascii="Arial" w:hAnsi="Arial" w:cs="Arial"/>
          <w:sz w:val="22"/>
          <w:szCs w:val="22"/>
        </w:rPr>
        <w:t xml:space="preserve">Group </w:t>
      </w:r>
      <w:r w:rsidR="00EF0806" w:rsidRPr="002D0E2B">
        <w:rPr>
          <w:rFonts w:ascii="Arial" w:hAnsi="Arial" w:cs="Arial"/>
          <w:sz w:val="22"/>
          <w:szCs w:val="22"/>
        </w:rPr>
        <w:t xml:space="preserve">will work with the Subcontractor to ensure the continuity of delivery for learners enrolled on </w:t>
      </w:r>
      <w:r>
        <w:rPr>
          <w:rFonts w:ascii="Arial" w:hAnsi="Arial" w:cs="Arial"/>
          <w:sz w:val="22"/>
          <w:szCs w:val="22"/>
        </w:rPr>
        <w:t>Group</w:t>
      </w:r>
      <w:r w:rsidR="00EF0806" w:rsidRPr="002D0E2B">
        <w:rPr>
          <w:rFonts w:ascii="Arial" w:hAnsi="Arial" w:cs="Arial"/>
          <w:sz w:val="22"/>
          <w:szCs w:val="22"/>
        </w:rPr>
        <w:t xml:space="preserve"> programmes appropriate to the circumstances. </w:t>
      </w:r>
      <w:r w:rsidR="006270BE">
        <w:rPr>
          <w:rFonts w:ascii="Arial" w:hAnsi="Arial" w:cs="Arial"/>
          <w:sz w:val="22"/>
          <w:szCs w:val="22"/>
        </w:rPr>
        <w:t xml:space="preserve"> </w:t>
      </w:r>
      <w:r w:rsidR="00EF0806" w:rsidRPr="002D0E2B">
        <w:rPr>
          <w:rFonts w:ascii="Arial" w:hAnsi="Arial" w:cs="Arial"/>
          <w:sz w:val="22"/>
          <w:szCs w:val="22"/>
        </w:rPr>
        <w:t xml:space="preserve">Options may include, but are not limited to: </w:t>
      </w:r>
    </w:p>
    <w:p w:rsidR="00EF0806" w:rsidRPr="002D0E2B" w:rsidRDefault="00EF0806" w:rsidP="00EF0806">
      <w:pPr>
        <w:ind w:left="709"/>
        <w:rPr>
          <w:rFonts w:ascii="Arial" w:hAnsi="Arial" w:cs="Arial"/>
          <w:sz w:val="22"/>
          <w:szCs w:val="22"/>
        </w:rPr>
      </w:pPr>
    </w:p>
    <w:p w:rsidR="00EF0806" w:rsidRPr="002D0E2B" w:rsidRDefault="00EF0806" w:rsidP="008908E5">
      <w:pPr>
        <w:pStyle w:val="ListParagraph"/>
        <w:numPr>
          <w:ilvl w:val="0"/>
          <w:numId w:val="8"/>
        </w:numPr>
        <w:rPr>
          <w:rFonts w:ascii="Arial" w:hAnsi="Arial" w:cs="Arial"/>
          <w:sz w:val="22"/>
          <w:szCs w:val="22"/>
        </w:rPr>
      </w:pPr>
      <w:r w:rsidRPr="002D0E2B">
        <w:rPr>
          <w:rFonts w:ascii="Arial" w:hAnsi="Arial" w:cs="Arial"/>
          <w:sz w:val="22"/>
          <w:szCs w:val="22"/>
        </w:rPr>
        <w:t xml:space="preserve">Delivery at </w:t>
      </w:r>
      <w:r w:rsidR="004F1CE6">
        <w:rPr>
          <w:rFonts w:ascii="Arial" w:hAnsi="Arial" w:cs="Arial"/>
          <w:sz w:val="22"/>
          <w:szCs w:val="22"/>
        </w:rPr>
        <w:t>Group</w:t>
      </w:r>
      <w:r w:rsidRPr="002D0E2B">
        <w:rPr>
          <w:rFonts w:ascii="Arial" w:hAnsi="Arial" w:cs="Arial"/>
          <w:sz w:val="22"/>
          <w:szCs w:val="22"/>
        </w:rPr>
        <w:t>, or other appropriate premises</w:t>
      </w:r>
    </w:p>
    <w:p w:rsidR="00EF0806" w:rsidRPr="002D0E2B" w:rsidRDefault="00EF0806" w:rsidP="008908E5">
      <w:pPr>
        <w:pStyle w:val="ListParagraph"/>
        <w:numPr>
          <w:ilvl w:val="0"/>
          <w:numId w:val="8"/>
        </w:numPr>
        <w:rPr>
          <w:rFonts w:ascii="Arial" w:hAnsi="Arial" w:cs="Arial"/>
          <w:sz w:val="22"/>
          <w:szCs w:val="22"/>
        </w:rPr>
      </w:pPr>
      <w:r w:rsidRPr="002D0E2B">
        <w:rPr>
          <w:rFonts w:ascii="Arial" w:hAnsi="Arial" w:cs="Arial"/>
          <w:sz w:val="22"/>
          <w:szCs w:val="22"/>
        </w:rPr>
        <w:t xml:space="preserve">Delivery using </w:t>
      </w:r>
      <w:r w:rsidR="004F1CE6">
        <w:rPr>
          <w:rFonts w:ascii="Arial" w:hAnsi="Arial" w:cs="Arial"/>
          <w:sz w:val="22"/>
          <w:szCs w:val="22"/>
        </w:rPr>
        <w:t xml:space="preserve">Group </w:t>
      </w:r>
      <w:r w:rsidRPr="002D0E2B">
        <w:rPr>
          <w:rFonts w:ascii="Arial" w:hAnsi="Arial" w:cs="Arial"/>
          <w:sz w:val="22"/>
          <w:szCs w:val="22"/>
        </w:rPr>
        <w:t>staff</w:t>
      </w:r>
    </w:p>
    <w:p w:rsidR="00EF0806" w:rsidRPr="002D0E2B" w:rsidRDefault="00EF0806" w:rsidP="008908E5">
      <w:pPr>
        <w:pStyle w:val="ListParagraph"/>
        <w:numPr>
          <w:ilvl w:val="0"/>
          <w:numId w:val="8"/>
        </w:numPr>
        <w:rPr>
          <w:rFonts w:ascii="Arial" w:hAnsi="Arial" w:cs="Arial"/>
          <w:sz w:val="22"/>
          <w:szCs w:val="22"/>
        </w:rPr>
      </w:pPr>
      <w:r w:rsidRPr="002D0E2B">
        <w:rPr>
          <w:rFonts w:ascii="Arial" w:hAnsi="Arial" w:cs="Arial"/>
          <w:sz w:val="22"/>
          <w:szCs w:val="22"/>
        </w:rPr>
        <w:t>Transfer of delivery to an alternative Subcontractor</w:t>
      </w:r>
    </w:p>
    <w:p w:rsidR="00440897" w:rsidRDefault="00440897" w:rsidP="007369D4">
      <w:pPr>
        <w:rPr>
          <w:rFonts w:ascii="Arial" w:hAnsi="Arial" w:cs="Arial"/>
          <w:color w:val="000000"/>
          <w:sz w:val="22"/>
          <w:szCs w:val="22"/>
        </w:rPr>
      </w:pPr>
    </w:p>
    <w:p w:rsidR="00704885" w:rsidRPr="002D0E2B" w:rsidRDefault="00704885" w:rsidP="007369D4">
      <w:pPr>
        <w:rPr>
          <w:rFonts w:ascii="Arial" w:hAnsi="Arial" w:cs="Arial"/>
          <w:color w:val="000000"/>
          <w:sz w:val="22"/>
          <w:szCs w:val="22"/>
        </w:rPr>
      </w:pPr>
    </w:p>
    <w:p w:rsidR="009C7063" w:rsidRPr="002D0E2B" w:rsidRDefault="0078371D" w:rsidP="007369D4">
      <w:pPr>
        <w:rPr>
          <w:rFonts w:ascii="Arial" w:hAnsi="Arial" w:cs="Arial"/>
          <w:b/>
          <w:color w:val="000000"/>
          <w:sz w:val="22"/>
          <w:szCs w:val="22"/>
        </w:rPr>
      </w:pPr>
      <w:r w:rsidRPr="002D0E2B">
        <w:rPr>
          <w:rFonts w:ascii="Arial" w:hAnsi="Arial" w:cs="Arial"/>
          <w:b/>
          <w:color w:val="000000"/>
          <w:sz w:val="22"/>
          <w:szCs w:val="22"/>
        </w:rPr>
        <w:t>1</w:t>
      </w:r>
      <w:r w:rsidR="006270BE">
        <w:rPr>
          <w:rFonts w:ascii="Arial" w:hAnsi="Arial" w:cs="Arial"/>
          <w:b/>
          <w:color w:val="000000"/>
          <w:sz w:val="22"/>
          <w:szCs w:val="22"/>
        </w:rPr>
        <w:t>1</w:t>
      </w:r>
      <w:r w:rsidR="009C7063" w:rsidRPr="002D0E2B">
        <w:rPr>
          <w:rFonts w:ascii="Arial" w:hAnsi="Arial" w:cs="Arial"/>
          <w:b/>
          <w:color w:val="000000"/>
          <w:sz w:val="22"/>
          <w:szCs w:val="22"/>
        </w:rPr>
        <w:t>.</w:t>
      </w:r>
      <w:r w:rsidR="009C7063" w:rsidRPr="002D0E2B">
        <w:rPr>
          <w:rFonts w:ascii="Arial" w:hAnsi="Arial" w:cs="Arial"/>
          <w:b/>
          <w:color w:val="000000"/>
          <w:sz w:val="22"/>
          <w:szCs w:val="22"/>
        </w:rPr>
        <w:tab/>
      </w:r>
      <w:r w:rsidR="004548FD" w:rsidRPr="002D0E2B">
        <w:rPr>
          <w:rFonts w:ascii="Arial" w:hAnsi="Arial" w:cs="Arial"/>
          <w:b/>
          <w:color w:val="000000"/>
          <w:sz w:val="22"/>
          <w:szCs w:val="22"/>
          <w:u w:val="single"/>
        </w:rPr>
        <w:t>Reporting</w:t>
      </w:r>
      <w:r w:rsidR="009C7063" w:rsidRPr="002D0E2B">
        <w:rPr>
          <w:rFonts w:ascii="Arial" w:hAnsi="Arial" w:cs="Arial"/>
          <w:b/>
          <w:color w:val="000000"/>
          <w:sz w:val="22"/>
          <w:szCs w:val="22"/>
          <w:u w:val="single"/>
        </w:rPr>
        <w:t xml:space="preserve"> Subcontractor</w:t>
      </w:r>
      <w:r w:rsidR="004548FD" w:rsidRPr="002D0E2B">
        <w:rPr>
          <w:rFonts w:ascii="Arial" w:hAnsi="Arial" w:cs="Arial"/>
          <w:b/>
          <w:color w:val="000000"/>
          <w:sz w:val="22"/>
          <w:szCs w:val="22"/>
          <w:u w:val="single"/>
        </w:rPr>
        <w:t xml:space="preserve"> Arrangements</w:t>
      </w:r>
    </w:p>
    <w:p w:rsidR="00452711" w:rsidRPr="002D0E2B" w:rsidRDefault="00452711" w:rsidP="007369D4">
      <w:pPr>
        <w:rPr>
          <w:rFonts w:ascii="Arial" w:hAnsi="Arial" w:cs="Arial"/>
          <w:color w:val="000000"/>
          <w:sz w:val="22"/>
          <w:szCs w:val="22"/>
        </w:rPr>
      </w:pPr>
    </w:p>
    <w:p w:rsidR="004548FD" w:rsidRPr="002D0E2B" w:rsidRDefault="0078371D" w:rsidP="00DB297A">
      <w:pPr>
        <w:ind w:left="720" w:hanging="720"/>
        <w:rPr>
          <w:rFonts w:ascii="Arial" w:hAnsi="Arial" w:cs="Arial"/>
          <w:sz w:val="22"/>
          <w:szCs w:val="22"/>
        </w:rPr>
      </w:pPr>
      <w:r w:rsidRPr="002D0E2B">
        <w:rPr>
          <w:rFonts w:ascii="Arial" w:hAnsi="Arial" w:cs="Arial"/>
          <w:color w:val="000000"/>
          <w:sz w:val="22"/>
          <w:szCs w:val="22"/>
        </w:rPr>
        <w:t>1</w:t>
      </w:r>
      <w:r w:rsidR="006270BE">
        <w:rPr>
          <w:rFonts w:ascii="Arial" w:hAnsi="Arial" w:cs="Arial"/>
          <w:color w:val="000000"/>
          <w:sz w:val="22"/>
          <w:szCs w:val="22"/>
        </w:rPr>
        <w:t>1.1</w:t>
      </w:r>
      <w:r w:rsidR="006270BE">
        <w:rPr>
          <w:rFonts w:ascii="Arial" w:hAnsi="Arial" w:cs="Arial"/>
          <w:color w:val="000000"/>
          <w:sz w:val="22"/>
          <w:szCs w:val="22"/>
        </w:rPr>
        <w:tab/>
      </w:r>
      <w:r w:rsidR="004F1CE6">
        <w:rPr>
          <w:rFonts w:ascii="Arial" w:hAnsi="Arial" w:cs="Arial"/>
          <w:color w:val="000000"/>
          <w:sz w:val="22"/>
          <w:szCs w:val="22"/>
        </w:rPr>
        <w:t>The</w:t>
      </w:r>
      <w:r w:rsidR="006270BE">
        <w:rPr>
          <w:rFonts w:ascii="Arial" w:hAnsi="Arial" w:cs="Arial"/>
          <w:color w:val="000000"/>
          <w:sz w:val="22"/>
          <w:szCs w:val="22"/>
        </w:rPr>
        <w:t xml:space="preserve"> </w:t>
      </w:r>
      <w:r w:rsidR="000252A1">
        <w:rPr>
          <w:rFonts w:ascii="Arial" w:hAnsi="Arial" w:cs="Arial"/>
          <w:color w:val="000000"/>
          <w:sz w:val="22"/>
          <w:szCs w:val="22"/>
        </w:rPr>
        <w:t xml:space="preserve">Group </w:t>
      </w:r>
      <w:r w:rsidR="000B2445" w:rsidRPr="002D0E2B">
        <w:rPr>
          <w:rFonts w:ascii="Arial" w:hAnsi="Arial" w:cs="Arial"/>
          <w:color w:val="000000"/>
          <w:sz w:val="22"/>
          <w:szCs w:val="22"/>
        </w:rPr>
        <w:t xml:space="preserve">will </w:t>
      </w:r>
      <w:r w:rsidR="00DB297A" w:rsidRPr="002D0E2B">
        <w:rPr>
          <w:rFonts w:ascii="Arial" w:hAnsi="Arial" w:cs="Arial"/>
          <w:color w:val="000000"/>
          <w:sz w:val="22"/>
          <w:szCs w:val="22"/>
        </w:rPr>
        <w:t xml:space="preserve">provide the </w:t>
      </w:r>
      <w:r w:rsidR="006270BE">
        <w:rPr>
          <w:rFonts w:ascii="Arial" w:hAnsi="Arial" w:cs="Arial"/>
          <w:color w:val="000000"/>
          <w:sz w:val="22"/>
          <w:szCs w:val="22"/>
        </w:rPr>
        <w:t>ESFA</w:t>
      </w:r>
      <w:r w:rsidR="00FB479D" w:rsidRPr="002D0E2B">
        <w:rPr>
          <w:rFonts w:ascii="Arial" w:hAnsi="Arial" w:cs="Arial"/>
          <w:color w:val="000000"/>
          <w:sz w:val="22"/>
          <w:szCs w:val="22"/>
        </w:rPr>
        <w:t xml:space="preserve"> with</w:t>
      </w:r>
      <w:r w:rsidR="00DB297A" w:rsidRPr="002D0E2B">
        <w:rPr>
          <w:rFonts w:ascii="Arial" w:hAnsi="Arial" w:cs="Arial"/>
          <w:color w:val="000000"/>
          <w:sz w:val="22"/>
          <w:szCs w:val="22"/>
        </w:rPr>
        <w:t xml:space="preserve"> a fully completed</w:t>
      </w:r>
      <w:r w:rsidR="004548FD" w:rsidRPr="002D0E2B">
        <w:rPr>
          <w:rFonts w:ascii="Arial" w:hAnsi="Arial" w:cs="Arial"/>
          <w:sz w:val="22"/>
          <w:szCs w:val="22"/>
        </w:rPr>
        <w:t xml:space="preserve"> Subcontractor Declaration Form </w:t>
      </w:r>
      <w:r w:rsidR="00DB297A" w:rsidRPr="002D0E2B">
        <w:rPr>
          <w:rFonts w:ascii="Arial" w:hAnsi="Arial" w:cs="Arial"/>
          <w:sz w:val="22"/>
          <w:szCs w:val="22"/>
        </w:rPr>
        <w:t>in line with the dates provided, this will be at least twice a year and if changes are made to subcontracting arrangements these will be frequently</w:t>
      </w:r>
      <w:r w:rsidR="004548FD" w:rsidRPr="002D0E2B">
        <w:rPr>
          <w:rFonts w:ascii="Arial" w:hAnsi="Arial" w:cs="Arial"/>
          <w:sz w:val="22"/>
          <w:szCs w:val="22"/>
        </w:rPr>
        <w:t xml:space="preserve">. </w:t>
      </w:r>
    </w:p>
    <w:p w:rsidR="004548FD" w:rsidRPr="002D0E2B" w:rsidRDefault="004548FD" w:rsidP="007369D4">
      <w:pPr>
        <w:rPr>
          <w:rFonts w:ascii="Arial" w:hAnsi="Arial" w:cs="Arial"/>
          <w:color w:val="000000"/>
          <w:sz w:val="22"/>
          <w:szCs w:val="22"/>
        </w:rPr>
      </w:pPr>
    </w:p>
    <w:p w:rsidR="00DB297A" w:rsidRPr="002D0E2B" w:rsidRDefault="0078371D" w:rsidP="00DB297A">
      <w:pPr>
        <w:ind w:left="720" w:hanging="720"/>
        <w:rPr>
          <w:rFonts w:ascii="Arial" w:hAnsi="Arial" w:cs="Arial"/>
          <w:color w:val="000000" w:themeColor="text1"/>
          <w:sz w:val="22"/>
          <w:szCs w:val="22"/>
        </w:rPr>
      </w:pPr>
      <w:r w:rsidRPr="002D0E2B">
        <w:rPr>
          <w:rFonts w:ascii="Arial" w:hAnsi="Arial" w:cs="Arial"/>
          <w:color w:val="000000"/>
          <w:sz w:val="22"/>
          <w:szCs w:val="22"/>
        </w:rPr>
        <w:t>1</w:t>
      </w:r>
      <w:r w:rsidR="006270BE">
        <w:rPr>
          <w:rFonts w:ascii="Arial" w:hAnsi="Arial" w:cs="Arial"/>
          <w:color w:val="000000"/>
          <w:sz w:val="22"/>
          <w:szCs w:val="22"/>
        </w:rPr>
        <w:t>1</w:t>
      </w:r>
      <w:r w:rsidR="00DB297A" w:rsidRPr="002D0E2B">
        <w:rPr>
          <w:rFonts w:ascii="Arial" w:hAnsi="Arial" w:cs="Arial"/>
          <w:color w:val="000000"/>
          <w:sz w:val="22"/>
          <w:szCs w:val="22"/>
        </w:rPr>
        <w:t>.2</w:t>
      </w:r>
      <w:r w:rsidR="00DB297A" w:rsidRPr="002D0E2B">
        <w:rPr>
          <w:rFonts w:ascii="Arial" w:hAnsi="Arial" w:cs="Arial"/>
          <w:color w:val="000000"/>
          <w:sz w:val="22"/>
          <w:szCs w:val="22"/>
        </w:rPr>
        <w:tab/>
      </w:r>
      <w:r w:rsidR="004F1CE6">
        <w:rPr>
          <w:rFonts w:ascii="Arial" w:hAnsi="Arial" w:cs="Arial"/>
          <w:color w:val="000000"/>
          <w:sz w:val="22"/>
          <w:szCs w:val="22"/>
        </w:rPr>
        <w:t>The Group</w:t>
      </w:r>
      <w:r w:rsidR="000252A1">
        <w:rPr>
          <w:rFonts w:ascii="Arial" w:hAnsi="Arial" w:cs="Arial"/>
          <w:color w:val="000000"/>
          <w:sz w:val="22"/>
          <w:szCs w:val="22"/>
        </w:rPr>
        <w:t xml:space="preserve"> </w:t>
      </w:r>
      <w:r w:rsidR="00DB297A" w:rsidRPr="002D0E2B">
        <w:rPr>
          <w:rFonts w:ascii="Arial" w:hAnsi="Arial" w:cs="Arial"/>
          <w:color w:val="000000" w:themeColor="text1"/>
          <w:sz w:val="22"/>
          <w:szCs w:val="22"/>
        </w:rPr>
        <w:t xml:space="preserve">will publish the actual level of funding paid and retained for each subcontract in </w:t>
      </w:r>
      <w:r w:rsidR="002526E5">
        <w:rPr>
          <w:rFonts w:ascii="Arial" w:hAnsi="Arial" w:cs="Arial"/>
          <w:color w:val="000000" w:themeColor="text1"/>
          <w:sz w:val="22"/>
          <w:szCs w:val="22"/>
        </w:rPr>
        <w:t>20</w:t>
      </w:r>
      <w:r w:rsidR="000252A1">
        <w:rPr>
          <w:rFonts w:ascii="Arial" w:hAnsi="Arial" w:cs="Arial"/>
          <w:color w:val="000000" w:themeColor="text1"/>
          <w:sz w:val="22"/>
          <w:szCs w:val="22"/>
        </w:rPr>
        <w:t>2</w:t>
      </w:r>
      <w:r w:rsidR="008404E8">
        <w:rPr>
          <w:rFonts w:ascii="Arial" w:hAnsi="Arial" w:cs="Arial"/>
          <w:color w:val="000000" w:themeColor="text1"/>
          <w:sz w:val="22"/>
          <w:szCs w:val="22"/>
        </w:rPr>
        <w:t>2</w:t>
      </w:r>
      <w:r w:rsidR="002526E5">
        <w:rPr>
          <w:rFonts w:ascii="Arial" w:hAnsi="Arial" w:cs="Arial"/>
          <w:color w:val="000000" w:themeColor="text1"/>
          <w:sz w:val="22"/>
          <w:szCs w:val="22"/>
        </w:rPr>
        <w:t>/2</w:t>
      </w:r>
      <w:r w:rsidR="008404E8">
        <w:rPr>
          <w:rFonts w:ascii="Arial" w:hAnsi="Arial" w:cs="Arial"/>
          <w:color w:val="000000" w:themeColor="text1"/>
          <w:sz w:val="22"/>
          <w:szCs w:val="22"/>
        </w:rPr>
        <w:t>3</w:t>
      </w:r>
      <w:r w:rsidR="00DB297A" w:rsidRPr="002D0E2B">
        <w:rPr>
          <w:rFonts w:ascii="Arial" w:hAnsi="Arial" w:cs="Arial"/>
          <w:color w:val="000000" w:themeColor="text1"/>
          <w:sz w:val="22"/>
          <w:szCs w:val="22"/>
        </w:rPr>
        <w:t xml:space="preserve"> within 30 days of the </w:t>
      </w:r>
      <w:r w:rsidR="002526E5">
        <w:rPr>
          <w:rFonts w:ascii="Arial" w:hAnsi="Arial" w:cs="Arial"/>
          <w:color w:val="000000" w:themeColor="text1"/>
          <w:sz w:val="22"/>
          <w:szCs w:val="22"/>
        </w:rPr>
        <w:t>20</w:t>
      </w:r>
      <w:r w:rsidR="000252A1">
        <w:rPr>
          <w:rFonts w:ascii="Arial" w:hAnsi="Arial" w:cs="Arial"/>
          <w:color w:val="000000" w:themeColor="text1"/>
          <w:sz w:val="22"/>
          <w:szCs w:val="22"/>
        </w:rPr>
        <w:t>2</w:t>
      </w:r>
      <w:r w:rsidR="008404E8">
        <w:rPr>
          <w:rFonts w:ascii="Arial" w:hAnsi="Arial" w:cs="Arial"/>
          <w:color w:val="000000" w:themeColor="text1"/>
          <w:sz w:val="22"/>
          <w:szCs w:val="22"/>
        </w:rPr>
        <w:t>2</w:t>
      </w:r>
      <w:r w:rsidR="002526E5">
        <w:rPr>
          <w:rFonts w:ascii="Arial" w:hAnsi="Arial" w:cs="Arial"/>
          <w:color w:val="000000" w:themeColor="text1"/>
          <w:sz w:val="22"/>
          <w:szCs w:val="22"/>
        </w:rPr>
        <w:t>/2</w:t>
      </w:r>
      <w:r w:rsidR="008404E8">
        <w:rPr>
          <w:rFonts w:ascii="Arial" w:hAnsi="Arial" w:cs="Arial"/>
          <w:color w:val="000000" w:themeColor="text1"/>
          <w:sz w:val="22"/>
          <w:szCs w:val="22"/>
        </w:rPr>
        <w:t>3</w:t>
      </w:r>
      <w:r w:rsidR="00DB297A" w:rsidRPr="002D0E2B">
        <w:rPr>
          <w:rFonts w:ascii="Arial" w:hAnsi="Arial" w:cs="Arial"/>
          <w:color w:val="000000" w:themeColor="text1"/>
          <w:sz w:val="22"/>
          <w:szCs w:val="22"/>
        </w:rPr>
        <w:t xml:space="preserve"> ILR closing. </w:t>
      </w:r>
    </w:p>
    <w:p w:rsidR="00191B29" w:rsidRDefault="00191B29" w:rsidP="007369D4">
      <w:pPr>
        <w:rPr>
          <w:rFonts w:ascii="Arial" w:hAnsi="Arial" w:cs="Arial"/>
          <w:color w:val="000000"/>
          <w:sz w:val="22"/>
          <w:szCs w:val="22"/>
        </w:rPr>
      </w:pPr>
    </w:p>
    <w:p w:rsidR="00704885" w:rsidRPr="002D0E2B" w:rsidRDefault="00704885" w:rsidP="007369D4">
      <w:pPr>
        <w:rPr>
          <w:rFonts w:ascii="Arial" w:hAnsi="Arial" w:cs="Arial"/>
          <w:color w:val="000000"/>
          <w:sz w:val="22"/>
          <w:szCs w:val="22"/>
        </w:rPr>
      </w:pPr>
    </w:p>
    <w:p w:rsidR="00FB2A8E" w:rsidRPr="002D0E2B" w:rsidRDefault="009C7063" w:rsidP="007369D4">
      <w:pPr>
        <w:autoSpaceDE w:val="0"/>
        <w:autoSpaceDN w:val="0"/>
        <w:adjustRightInd w:val="0"/>
        <w:rPr>
          <w:rFonts w:ascii="Arial" w:hAnsi="Arial" w:cs="Arial"/>
          <w:color w:val="000000"/>
          <w:sz w:val="22"/>
          <w:szCs w:val="22"/>
        </w:rPr>
      </w:pPr>
      <w:r w:rsidRPr="002D0E2B">
        <w:rPr>
          <w:rFonts w:ascii="Arial" w:hAnsi="Arial" w:cs="Arial"/>
          <w:b/>
          <w:bCs/>
          <w:color w:val="000000"/>
          <w:sz w:val="22"/>
          <w:szCs w:val="22"/>
        </w:rPr>
        <w:t>1</w:t>
      </w:r>
      <w:r w:rsidR="006270BE">
        <w:rPr>
          <w:rFonts w:ascii="Arial" w:hAnsi="Arial" w:cs="Arial"/>
          <w:b/>
          <w:bCs/>
          <w:color w:val="000000"/>
          <w:sz w:val="22"/>
          <w:szCs w:val="22"/>
        </w:rPr>
        <w:t>2</w:t>
      </w:r>
      <w:r w:rsidRPr="002D0E2B">
        <w:rPr>
          <w:rFonts w:ascii="Arial" w:hAnsi="Arial" w:cs="Arial"/>
          <w:b/>
          <w:bCs/>
          <w:color w:val="000000"/>
          <w:sz w:val="22"/>
          <w:szCs w:val="22"/>
        </w:rPr>
        <w:t>.</w:t>
      </w:r>
      <w:r w:rsidRPr="002D0E2B">
        <w:rPr>
          <w:rFonts w:ascii="Arial" w:hAnsi="Arial" w:cs="Arial"/>
          <w:b/>
          <w:bCs/>
          <w:color w:val="000000"/>
          <w:sz w:val="22"/>
          <w:szCs w:val="22"/>
        </w:rPr>
        <w:tab/>
      </w:r>
      <w:r w:rsidR="00FB2A8E" w:rsidRPr="002D0E2B">
        <w:rPr>
          <w:rFonts w:ascii="Arial" w:hAnsi="Arial" w:cs="Arial"/>
          <w:b/>
          <w:bCs/>
          <w:color w:val="000000"/>
          <w:sz w:val="22"/>
          <w:szCs w:val="22"/>
          <w:u w:val="single"/>
        </w:rPr>
        <w:t>C</w:t>
      </w:r>
      <w:r w:rsidR="00A76007" w:rsidRPr="002D0E2B">
        <w:rPr>
          <w:rFonts w:ascii="Arial" w:hAnsi="Arial" w:cs="Arial"/>
          <w:b/>
          <w:bCs/>
          <w:color w:val="000000"/>
          <w:sz w:val="22"/>
          <w:szCs w:val="22"/>
          <w:u w:val="single"/>
        </w:rPr>
        <w:t>ontract</w:t>
      </w:r>
    </w:p>
    <w:p w:rsidR="009C7063" w:rsidRPr="002D0E2B" w:rsidRDefault="009C7063" w:rsidP="00E25EEF">
      <w:pPr>
        <w:pStyle w:val="Default"/>
        <w:ind w:left="720" w:hanging="720"/>
        <w:rPr>
          <w:sz w:val="22"/>
          <w:szCs w:val="22"/>
        </w:rPr>
      </w:pPr>
    </w:p>
    <w:p w:rsidR="00FB2A8E" w:rsidRPr="002D0E2B" w:rsidRDefault="009C7063" w:rsidP="00E25EEF">
      <w:pPr>
        <w:pStyle w:val="Default"/>
        <w:ind w:left="720" w:hanging="720"/>
        <w:rPr>
          <w:sz w:val="22"/>
          <w:szCs w:val="22"/>
        </w:rPr>
      </w:pPr>
      <w:r w:rsidRPr="002D0E2B">
        <w:rPr>
          <w:sz w:val="22"/>
          <w:szCs w:val="22"/>
        </w:rPr>
        <w:t>1</w:t>
      </w:r>
      <w:r w:rsidR="006270BE">
        <w:rPr>
          <w:sz w:val="22"/>
          <w:szCs w:val="22"/>
        </w:rPr>
        <w:t>2</w:t>
      </w:r>
      <w:r w:rsidR="00A76007" w:rsidRPr="002D0E2B">
        <w:rPr>
          <w:sz w:val="22"/>
          <w:szCs w:val="22"/>
        </w:rPr>
        <w:t>.1</w:t>
      </w:r>
      <w:r w:rsidR="00E25EEF" w:rsidRPr="002D0E2B">
        <w:rPr>
          <w:sz w:val="22"/>
          <w:szCs w:val="22"/>
        </w:rPr>
        <w:tab/>
      </w:r>
      <w:r w:rsidR="00FB2A8E" w:rsidRPr="002D0E2B">
        <w:rPr>
          <w:sz w:val="22"/>
          <w:szCs w:val="22"/>
        </w:rPr>
        <w:t>All Subcontractors are required to agree and sign a</w:t>
      </w:r>
      <w:r w:rsidR="00DB297A" w:rsidRPr="002D0E2B">
        <w:rPr>
          <w:sz w:val="22"/>
          <w:szCs w:val="22"/>
        </w:rPr>
        <w:t>n agreement</w:t>
      </w:r>
      <w:r w:rsidR="00FB2A8E" w:rsidRPr="002D0E2B">
        <w:rPr>
          <w:sz w:val="22"/>
          <w:szCs w:val="22"/>
        </w:rPr>
        <w:t xml:space="preserve"> between both parties prior to delivery of any provision</w:t>
      </w:r>
      <w:r w:rsidR="00FB479D" w:rsidRPr="002D0E2B">
        <w:rPr>
          <w:sz w:val="22"/>
          <w:szCs w:val="22"/>
        </w:rPr>
        <w:t>.</w:t>
      </w:r>
    </w:p>
    <w:p w:rsidR="00FB2A8E" w:rsidRPr="002D0E2B" w:rsidRDefault="00FB2A8E" w:rsidP="007369D4">
      <w:pPr>
        <w:pStyle w:val="Default"/>
        <w:rPr>
          <w:sz w:val="22"/>
          <w:szCs w:val="22"/>
        </w:rPr>
      </w:pPr>
    </w:p>
    <w:p w:rsidR="00FB2A8E" w:rsidRDefault="009C7063" w:rsidP="00E25EEF">
      <w:pPr>
        <w:pStyle w:val="Default"/>
        <w:ind w:left="720" w:hanging="720"/>
        <w:rPr>
          <w:sz w:val="22"/>
          <w:szCs w:val="22"/>
        </w:rPr>
      </w:pPr>
      <w:r w:rsidRPr="002D0E2B">
        <w:rPr>
          <w:sz w:val="22"/>
          <w:szCs w:val="22"/>
        </w:rPr>
        <w:t>1</w:t>
      </w:r>
      <w:r w:rsidR="006270BE">
        <w:rPr>
          <w:sz w:val="22"/>
          <w:szCs w:val="22"/>
        </w:rPr>
        <w:t>2</w:t>
      </w:r>
      <w:r w:rsidR="00A76007" w:rsidRPr="002D0E2B">
        <w:rPr>
          <w:sz w:val="22"/>
          <w:szCs w:val="22"/>
        </w:rPr>
        <w:t>.2</w:t>
      </w:r>
      <w:r w:rsidR="00E25EEF" w:rsidRPr="002D0E2B">
        <w:rPr>
          <w:sz w:val="22"/>
          <w:szCs w:val="22"/>
        </w:rPr>
        <w:tab/>
      </w:r>
      <w:r w:rsidR="00FB2A8E" w:rsidRPr="002D0E2B">
        <w:rPr>
          <w:sz w:val="22"/>
          <w:szCs w:val="22"/>
        </w:rPr>
        <w:t>In agreement with b</w:t>
      </w:r>
      <w:r w:rsidR="00DB297A" w:rsidRPr="002D0E2B">
        <w:rPr>
          <w:sz w:val="22"/>
          <w:szCs w:val="22"/>
        </w:rPr>
        <w:t>oth parties, variations to the agreement</w:t>
      </w:r>
      <w:r w:rsidR="00FB2A8E" w:rsidRPr="002D0E2B">
        <w:rPr>
          <w:sz w:val="22"/>
          <w:szCs w:val="22"/>
        </w:rPr>
        <w:t xml:space="preserve"> may be issued during the contract period</w:t>
      </w:r>
      <w:r w:rsidR="00DB297A" w:rsidRPr="002D0E2B">
        <w:rPr>
          <w:sz w:val="22"/>
          <w:szCs w:val="22"/>
        </w:rPr>
        <w:t>, arrangements for this are outlined in the agreement</w:t>
      </w:r>
      <w:r w:rsidR="00FB2A8E" w:rsidRPr="002D0E2B">
        <w:rPr>
          <w:sz w:val="22"/>
          <w:szCs w:val="22"/>
        </w:rPr>
        <w:t>.  The variation may relate to, for example:</w:t>
      </w:r>
    </w:p>
    <w:p w:rsidR="00C11988" w:rsidRPr="002D0E2B" w:rsidRDefault="00C11988" w:rsidP="00E25EEF">
      <w:pPr>
        <w:pStyle w:val="Default"/>
        <w:ind w:left="720" w:hanging="720"/>
        <w:rPr>
          <w:sz w:val="22"/>
          <w:szCs w:val="22"/>
        </w:rPr>
      </w:pPr>
    </w:p>
    <w:p w:rsidR="00FB2A8E" w:rsidRPr="002D0E2B" w:rsidRDefault="00FB2A8E" w:rsidP="008908E5">
      <w:pPr>
        <w:pStyle w:val="Default"/>
        <w:numPr>
          <w:ilvl w:val="0"/>
          <w:numId w:val="5"/>
        </w:numPr>
        <w:rPr>
          <w:sz w:val="22"/>
          <w:szCs w:val="22"/>
        </w:rPr>
      </w:pPr>
      <w:r w:rsidRPr="002D0E2B">
        <w:rPr>
          <w:sz w:val="22"/>
          <w:szCs w:val="22"/>
        </w:rPr>
        <w:t>Changes in the management fee dependent on the level of support required</w:t>
      </w:r>
      <w:r w:rsidR="00FB479D" w:rsidRPr="002D0E2B">
        <w:rPr>
          <w:sz w:val="22"/>
          <w:szCs w:val="22"/>
        </w:rPr>
        <w:t>.</w:t>
      </w:r>
    </w:p>
    <w:p w:rsidR="00FB2A8E" w:rsidRPr="002D0E2B" w:rsidRDefault="00FB2A8E" w:rsidP="008908E5">
      <w:pPr>
        <w:pStyle w:val="Default"/>
        <w:numPr>
          <w:ilvl w:val="0"/>
          <w:numId w:val="5"/>
        </w:numPr>
        <w:rPr>
          <w:sz w:val="22"/>
          <w:szCs w:val="22"/>
        </w:rPr>
      </w:pPr>
      <w:r w:rsidRPr="002D0E2B">
        <w:rPr>
          <w:sz w:val="22"/>
          <w:szCs w:val="22"/>
        </w:rPr>
        <w:t>Changes to the volumes of learners and funding</w:t>
      </w:r>
      <w:r w:rsidR="00FB479D" w:rsidRPr="002D0E2B">
        <w:rPr>
          <w:sz w:val="22"/>
          <w:szCs w:val="22"/>
        </w:rPr>
        <w:t>.</w:t>
      </w:r>
    </w:p>
    <w:p w:rsidR="00FB2A8E" w:rsidRPr="002D0E2B" w:rsidRDefault="00FB2A8E" w:rsidP="008908E5">
      <w:pPr>
        <w:pStyle w:val="Default"/>
        <w:numPr>
          <w:ilvl w:val="0"/>
          <w:numId w:val="5"/>
        </w:numPr>
        <w:rPr>
          <w:sz w:val="22"/>
          <w:szCs w:val="22"/>
        </w:rPr>
      </w:pPr>
      <w:r w:rsidRPr="002D0E2B">
        <w:rPr>
          <w:sz w:val="22"/>
          <w:szCs w:val="22"/>
        </w:rPr>
        <w:t>Changes to the range and scope of provision delivered by the Subcontractor</w:t>
      </w:r>
      <w:r w:rsidR="00FB479D" w:rsidRPr="002D0E2B">
        <w:rPr>
          <w:sz w:val="22"/>
          <w:szCs w:val="22"/>
        </w:rPr>
        <w:t>.</w:t>
      </w:r>
    </w:p>
    <w:p w:rsidR="00FB2A8E" w:rsidRDefault="00FB2A8E" w:rsidP="007369D4">
      <w:pPr>
        <w:pStyle w:val="Default"/>
        <w:rPr>
          <w:sz w:val="22"/>
          <w:szCs w:val="22"/>
        </w:rPr>
      </w:pPr>
    </w:p>
    <w:p w:rsidR="00704885" w:rsidRPr="002D0E2B" w:rsidRDefault="00704885" w:rsidP="007369D4">
      <w:pPr>
        <w:pStyle w:val="Default"/>
        <w:rPr>
          <w:sz w:val="22"/>
          <w:szCs w:val="22"/>
        </w:rPr>
      </w:pPr>
    </w:p>
    <w:p w:rsidR="00FB2A8E" w:rsidRPr="002D0E2B" w:rsidRDefault="009C7063" w:rsidP="007369D4">
      <w:pPr>
        <w:pStyle w:val="Default"/>
        <w:rPr>
          <w:sz w:val="22"/>
          <w:szCs w:val="22"/>
        </w:rPr>
      </w:pPr>
      <w:r w:rsidRPr="002D0E2B">
        <w:rPr>
          <w:b/>
          <w:bCs/>
          <w:sz w:val="22"/>
          <w:szCs w:val="22"/>
        </w:rPr>
        <w:t>1</w:t>
      </w:r>
      <w:r w:rsidR="006270BE">
        <w:rPr>
          <w:b/>
          <w:bCs/>
          <w:sz w:val="22"/>
          <w:szCs w:val="22"/>
        </w:rPr>
        <w:t>3</w:t>
      </w:r>
      <w:r w:rsidRPr="002D0E2B">
        <w:rPr>
          <w:b/>
          <w:bCs/>
          <w:sz w:val="22"/>
          <w:szCs w:val="22"/>
        </w:rPr>
        <w:t>.</w:t>
      </w:r>
      <w:r w:rsidR="00E25EEF" w:rsidRPr="002D0E2B">
        <w:rPr>
          <w:b/>
          <w:bCs/>
          <w:sz w:val="22"/>
          <w:szCs w:val="22"/>
        </w:rPr>
        <w:tab/>
      </w:r>
      <w:r w:rsidR="00FB2A8E" w:rsidRPr="002D0E2B">
        <w:rPr>
          <w:b/>
          <w:bCs/>
          <w:sz w:val="22"/>
          <w:szCs w:val="22"/>
          <w:u w:val="single"/>
        </w:rPr>
        <w:t>D</w:t>
      </w:r>
      <w:r w:rsidR="00A76007" w:rsidRPr="002D0E2B">
        <w:rPr>
          <w:b/>
          <w:bCs/>
          <w:sz w:val="22"/>
          <w:szCs w:val="22"/>
          <w:u w:val="single"/>
        </w:rPr>
        <w:t>issemination</w:t>
      </w:r>
    </w:p>
    <w:p w:rsidR="009C7063" w:rsidRPr="002D0E2B" w:rsidRDefault="009C7063" w:rsidP="00E25EEF">
      <w:pPr>
        <w:pStyle w:val="Default"/>
        <w:ind w:left="720" w:hanging="720"/>
        <w:rPr>
          <w:sz w:val="22"/>
          <w:szCs w:val="22"/>
        </w:rPr>
      </w:pPr>
    </w:p>
    <w:p w:rsidR="00806CA3" w:rsidRDefault="009C7063" w:rsidP="00E25EEF">
      <w:pPr>
        <w:pStyle w:val="Default"/>
        <w:ind w:left="720" w:hanging="720"/>
        <w:rPr>
          <w:sz w:val="22"/>
          <w:szCs w:val="22"/>
        </w:rPr>
      </w:pPr>
      <w:r w:rsidRPr="002D0E2B">
        <w:rPr>
          <w:sz w:val="22"/>
          <w:szCs w:val="22"/>
        </w:rPr>
        <w:t>1</w:t>
      </w:r>
      <w:r w:rsidR="006270BE">
        <w:rPr>
          <w:sz w:val="22"/>
          <w:szCs w:val="22"/>
        </w:rPr>
        <w:t>3</w:t>
      </w:r>
      <w:r w:rsidRPr="002D0E2B">
        <w:rPr>
          <w:sz w:val="22"/>
          <w:szCs w:val="22"/>
        </w:rPr>
        <w:t>.1</w:t>
      </w:r>
      <w:r w:rsidR="00E25EEF" w:rsidRPr="002D0E2B">
        <w:rPr>
          <w:sz w:val="22"/>
          <w:szCs w:val="22"/>
        </w:rPr>
        <w:tab/>
      </w:r>
      <w:r w:rsidR="00FB2A8E" w:rsidRPr="002D0E2B">
        <w:rPr>
          <w:sz w:val="22"/>
          <w:szCs w:val="22"/>
        </w:rPr>
        <w:t xml:space="preserve">This policy is available </w:t>
      </w:r>
      <w:r w:rsidR="00806CA3">
        <w:rPr>
          <w:sz w:val="22"/>
          <w:szCs w:val="22"/>
        </w:rPr>
        <w:t xml:space="preserve">on </w:t>
      </w:r>
      <w:r w:rsidR="003F688D">
        <w:rPr>
          <w:sz w:val="22"/>
          <w:szCs w:val="22"/>
        </w:rPr>
        <w:t>our Staff Hub</w:t>
      </w:r>
      <w:r w:rsidR="00806CA3">
        <w:rPr>
          <w:sz w:val="22"/>
          <w:szCs w:val="22"/>
        </w:rPr>
        <w:t xml:space="preserve"> and </w:t>
      </w:r>
      <w:r w:rsidR="00FB2A8E" w:rsidRPr="002D0E2B">
        <w:rPr>
          <w:sz w:val="22"/>
          <w:szCs w:val="22"/>
        </w:rPr>
        <w:t>via</w:t>
      </w:r>
      <w:r w:rsidR="00806CA3">
        <w:rPr>
          <w:sz w:val="22"/>
          <w:szCs w:val="22"/>
        </w:rPr>
        <w:t xml:space="preserve"> the following websites:</w:t>
      </w:r>
    </w:p>
    <w:p w:rsidR="008F6BD5" w:rsidRDefault="008F6BD5" w:rsidP="008908E5">
      <w:pPr>
        <w:pStyle w:val="Default"/>
        <w:numPr>
          <w:ilvl w:val="0"/>
          <w:numId w:val="11"/>
        </w:numPr>
        <w:rPr>
          <w:sz w:val="22"/>
          <w:szCs w:val="22"/>
        </w:rPr>
      </w:pPr>
      <w:r>
        <w:rPr>
          <w:sz w:val="22"/>
          <w:szCs w:val="22"/>
        </w:rPr>
        <w:t>Nelson and Colne College Group (www.nelsongroup.ac.uk)</w:t>
      </w:r>
    </w:p>
    <w:p w:rsidR="00FB2A8E" w:rsidRDefault="00806CA3" w:rsidP="008908E5">
      <w:pPr>
        <w:pStyle w:val="Default"/>
        <w:numPr>
          <w:ilvl w:val="0"/>
          <w:numId w:val="11"/>
        </w:numPr>
        <w:rPr>
          <w:sz w:val="22"/>
          <w:szCs w:val="22"/>
        </w:rPr>
      </w:pPr>
      <w:r>
        <w:rPr>
          <w:sz w:val="22"/>
          <w:szCs w:val="22"/>
        </w:rPr>
        <w:t>Nelson and Colne College (www.nelson.ac.uk)</w:t>
      </w:r>
    </w:p>
    <w:p w:rsidR="00806CA3" w:rsidRDefault="00806CA3" w:rsidP="008908E5">
      <w:pPr>
        <w:pStyle w:val="Default"/>
        <w:numPr>
          <w:ilvl w:val="0"/>
          <w:numId w:val="11"/>
        </w:numPr>
        <w:rPr>
          <w:sz w:val="22"/>
          <w:szCs w:val="22"/>
        </w:rPr>
      </w:pPr>
      <w:r>
        <w:rPr>
          <w:sz w:val="22"/>
          <w:szCs w:val="22"/>
        </w:rPr>
        <w:t>Accrington and Rossendale College (www.accross.ac.uk)</w:t>
      </w:r>
    </w:p>
    <w:p w:rsidR="00806CA3" w:rsidRPr="002D0E2B" w:rsidRDefault="00806CA3" w:rsidP="008908E5">
      <w:pPr>
        <w:pStyle w:val="Default"/>
        <w:numPr>
          <w:ilvl w:val="0"/>
          <w:numId w:val="11"/>
        </w:numPr>
        <w:rPr>
          <w:sz w:val="22"/>
          <w:szCs w:val="22"/>
        </w:rPr>
      </w:pPr>
      <w:r>
        <w:rPr>
          <w:sz w:val="22"/>
          <w:szCs w:val="22"/>
        </w:rPr>
        <w:t>Lancashire Adult Learning (www.lal.ac.uk)</w:t>
      </w:r>
    </w:p>
    <w:p w:rsidR="00FB2A8E" w:rsidRPr="002D0E2B" w:rsidRDefault="00FB2A8E" w:rsidP="007369D4">
      <w:pPr>
        <w:pStyle w:val="Default"/>
        <w:rPr>
          <w:sz w:val="22"/>
          <w:szCs w:val="22"/>
        </w:rPr>
      </w:pPr>
    </w:p>
    <w:p w:rsidR="00FB2A8E" w:rsidRPr="002D0E2B" w:rsidRDefault="009C7063" w:rsidP="00E25EEF">
      <w:pPr>
        <w:pStyle w:val="Default"/>
        <w:ind w:left="720" w:hanging="720"/>
        <w:rPr>
          <w:sz w:val="22"/>
          <w:szCs w:val="22"/>
        </w:rPr>
      </w:pPr>
      <w:r w:rsidRPr="002D0E2B">
        <w:rPr>
          <w:sz w:val="22"/>
          <w:szCs w:val="22"/>
        </w:rPr>
        <w:t>1</w:t>
      </w:r>
      <w:r w:rsidR="006270BE">
        <w:rPr>
          <w:sz w:val="22"/>
          <w:szCs w:val="22"/>
        </w:rPr>
        <w:t>3</w:t>
      </w:r>
      <w:r w:rsidR="00A76007" w:rsidRPr="002D0E2B">
        <w:rPr>
          <w:sz w:val="22"/>
          <w:szCs w:val="22"/>
        </w:rPr>
        <w:t>.2</w:t>
      </w:r>
      <w:r w:rsidR="00E25EEF" w:rsidRPr="002D0E2B">
        <w:rPr>
          <w:sz w:val="22"/>
          <w:szCs w:val="22"/>
        </w:rPr>
        <w:tab/>
      </w:r>
      <w:r w:rsidR="00FB2A8E" w:rsidRPr="002D0E2B">
        <w:rPr>
          <w:sz w:val="22"/>
          <w:szCs w:val="22"/>
        </w:rPr>
        <w:t>Potential subcontractors can access this policy via the website</w:t>
      </w:r>
      <w:r w:rsidR="00A02A85">
        <w:rPr>
          <w:sz w:val="22"/>
          <w:szCs w:val="22"/>
        </w:rPr>
        <w:t>s detailed above</w:t>
      </w:r>
      <w:r w:rsidR="00FB2A8E" w:rsidRPr="002D0E2B">
        <w:rPr>
          <w:sz w:val="22"/>
          <w:szCs w:val="22"/>
        </w:rPr>
        <w:t xml:space="preserve"> or be referred to it as part of the Due Diligence process</w:t>
      </w:r>
      <w:r w:rsidRPr="002D0E2B">
        <w:rPr>
          <w:sz w:val="22"/>
          <w:szCs w:val="22"/>
        </w:rPr>
        <w:t>.</w:t>
      </w:r>
    </w:p>
    <w:p w:rsidR="009C7063" w:rsidRPr="002D0E2B" w:rsidRDefault="009C7063" w:rsidP="00E25EEF">
      <w:pPr>
        <w:pStyle w:val="Default"/>
        <w:ind w:left="720" w:hanging="720"/>
        <w:rPr>
          <w:sz w:val="22"/>
          <w:szCs w:val="22"/>
        </w:rPr>
      </w:pPr>
    </w:p>
    <w:p w:rsidR="00452711" w:rsidRPr="002D0E2B" w:rsidRDefault="009C7063" w:rsidP="009C7063">
      <w:pPr>
        <w:ind w:left="720" w:hanging="720"/>
        <w:rPr>
          <w:rFonts w:ascii="Arial" w:hAnsi="Arial" w:cs="Arial"/>
          <w:sz w:val="22"/>
          <w:szCs w:val="22"/>
        </w:rPr>
      </w:pPr>
      <w:r w:rsidRPr="002D0E2B">
        <w:rPr>
          <w:rFonts w:ascii="Arial" w:hAnsi="Arial" w:cs="Arial"/>
          <w:sz w:val="22"/>
          <w:szCs w:val="22"/>
        </w:rPr>
        <w:t>1</w:t>
      </w:r>
      <w:r w:rsidR="006270BE">
        <w:rPr>
          <w:rFonts w:ascii="Arial" w:hAnsi="Arial" w:cs="Arial"/>
          <w:sz w:val="22"/>
          <w:szCs w:val="22"/>
        </w:rPr>
        <w:t>3</w:t>
      </w:r>
      <w:r w:rsidRPr="002D0E2B">
        <w:rPr>
          <w:rFonts w:ascii="Arial" w:hAnsi="Arial" w:cs="Arial"/>
          <w:sz w:val="22"/>
          <w:szCs w:val="22"/>
        </w:rPr>
        <w:t>.3</w:t>
      </w:r>
      <w:r w:rsidRPr="002D0E2B">
        <w:rPr>
          <w:rFonts w:ascii="Arial" w:hAnsi="Arial" w:cs="Arial"/>
          <w:sz w:val="22"/>
          <w:szCs w:val="22"/>
        </w:rPr>
        <w:tab/>
      </w:r>
      <w:r w:rsidR="00452711" w:rsidRPr="002D0E2B">
        <w:rPr>
          <w:rFonts w:ascii="Arial" w:hAnsi="Arial" w:cs="Arial"/>
          <w:sz w:val="22"/>
          <w:szCs w:val="22"/>
        </w:rPr>
        <w:t>The Policy is communicated to subcontractors through email, meetings and contract reviews and in advance of subcontracting discussions for subsequent years.</w:t>
      </w:r>
    </w:p>
    <w:p w:rsidR="00452711" w:rsidRDefault="00452711" w:rsidP="00452711">
      <w:pPr>
        <w:rPr>
          <w:rFonts w:ascii="Arial" w:hAnsi="Arial" w:cs="Arial"/>
          <w:sz w:val="22"/>
          <w:szCs w:val="22"/>
        </w:rPr>
      </w:pPr>
    </w:p>
    <w:p w:rsidR="00704885" w:rsidRPr="002D0E2B" w:rsidRDefault="00704885" w:rsidP="00452711">
      <w:pPr>
        <w:rPr>
          <w:rFonts w:ascii="Arial" w:hAnsi="Arial" w:cs="Arial"/>
          <w:sz w:val="22"/>
          <w:szCs w:val="22"/>
        </w:rPr>
      </w:pPr>
    </w:p>
    <w:p w:rsidR="00FB2A8E" w:rsidRPr="002D0E2B" w:rsidRDefault="009C7063" w:rsidP="007369D4">
      <w:pPr>
        <w:pStyle w:val="Default"/>
        <w:rPr>
          <w:sz w:val="22"/>
          <w:szCs w:val="22"/>
        </w:rPr>
      </w:pPr>
      <w:r w:rsidRPr="002D0E2B">
        <w:rPr>
          <w:b/>
          <w:bCs/>
          <w:sz w:val="22"/>
          <w:szCs w:val="22"/>
        </w:rPr>
        <w:t>1</w:t>
      </w:r>
      <w:r w:rsidR="006270BE">
        <w:rPr>
          <w:b/>
          <w:bCs/>
          <w:sz w:val="22"/>
          <w:szCs w:val="22"/>
        </w:rPr>
        <w:t>4</w:t>
      </w:r>
      <w:r w:rsidRPr="002D0E2B">
        <w:rPr>
          <w:b/>
          <w:bCs/>
          <w:sz w:val="22"/>
          <w:szCs w:val="22"/>
        </w:rPr>
        <w:t>.</w:t>
      </w:r>
      <w:r w:rsidR="00E25EEF" w:rsidRPr="002D0E2B">
        <w:rPr>
          <w:b/>
          <w:bCs/>
          <w:sz w:val="22"/>
          <w:szCs w:val="22"/>
        </w:rPr>
        <w:tab/>
      </w:r>
      <w:r w:rsidR="00FB2A8E" w:rsidRPr="002D0E2B">
        <w:rPr>
          <w:b/>
          <w:bCs/>
          <w:sz w:val="22"/>
          <w:szCs w:val="22"/>
          <w:u w:val="single"/>
        </w:rPr>
        <w:t>D</w:t>
      </w:r>
      <w:r w:rsidR="00A76007" w:rsidRPr="002D0E2B">
        <w:rPr>
          <w:b/>
          <w:bCs/>
          <w:sz w:val="22"/>
          <w:szCs w:val="22"/>
          <w:u w:val="single"/>
        </w:rPr>
        <w:t>isclaimer</w:t>
      </w:r>
    </w:p>
    <w:p w:rsidR="009C7063" w:rsidRPr="002D0E2B" w:rsidRDefault="009C7063" w:rsidP="00E25EEF">
      <w:pPr>
        <w:pStyle w:val="Default"/>
        <w:ind w:left="720" w:hanging="720"/>
        <w:rPr>
          <w:sz w:val="22"/>
          <w:szCs w:val="22"/>
        </w:rPr>
      </w:pPr>
    </w:p>
    <w:p w:rsidR="00FB2A8E" w:rsidRPr="002D0E2B" w:rsidRDefault="009C7063" w:rsidP="00E25EEF">
      <w:pPr>
        <w:pStyle w:val="Default"/>
        <w:ind w:left="720" w:hanging="720"/>
        <w:rPr>
          <w:sz w:val="22"/>
          <w:szCs w:val="22"/>
        </w:rPr>
      </w:pPr>
      <w:r w:rsidRPr="002D0E2B">
        <w:rPr>
          <w:sz w:val="22"/>
          <w:szCs w:val="22"/>
        </w:rPr>
        <w:t>1</w:t>
      </w:r>
      <w:r w:rsidR="006270BE">
        <w:rPr>
          <w:sz w:val="22"/>
          <w:szCs w:val="22"/>
        </w:rPr>
        <w:t>4</w:t>
      </w:r>
      <w:r w:rsidR="00A76007" w:rsidRPr="002D0E2B">
        <w:rPr>
          <w:sz w:val="22"/>
          <w:szCs w:val="22"/>
        </w:rPr>
        <w:t>.</w:t>
      </w:r>
      <w:r w:rsidR="00FB2A8E" w:rsidRPr="002D0E2B">
        <w:rPr>
          <w:sz w:val="22"/>
          <w:szCs w:val="22"/>
        </w:rPr>
        <w:t>1</w:t>
      </w:r>
      <w:r w:rsidR="00E25EEF" w:rsidRPr="002D0E2B">
        <w:rPr>
          <w:sz w:val="22"/>
          <w:szCs w:val="22"/>
        </w:rPr>
        <w:tab/>
      </w:r>
      <w:r w:rsidR="00FB2A8E" w:rsidRPr="002D0E2B">
        <w:rPr>
          <w:sz w:val="22"/>
          <w:szCs w:val="22"/>
        </w:rPr>
        <w:t xml:space="preserve">The </w:t>
      </w:r>
      <w:r w:rsidR="004F1CE6">
        <w:rPr>
          <w:sz w:val="22"/>
          <w:szCs w:val="22"/>
        </w:rPr>
        <w:t>Group</w:t>
      </w:r>
      <w:r w:rsidR="00FB2A8E" w:rsidRPr="002D0E2B">
        <w:rPr>
          <w:sz w:val="22"/>
          <w:szCs w:val="22"/>
        </w:rPr>
        <w:t xml:space="preserve"> reserves the right to amend its subcontracting arrangements at any time in accordance with the terms and conditions containe</w:t>
      </w:r>
      <w:r w:rsidR="00532895">
        <w:rPr>
          <w:sz w:val="22"/>
          <w:szCs w:val="22"/>
        </w:rPr>
        <w:t>d in its subcontract agreements, this includes those subcontracts novated from Accrington and Rossendale College to ensure that the</w:t>
      </w:r>
      <w:r w:rsidR="004F1CE6">
        <w:rPr>
          <w:sz w:val="22"/>
          <w:szCs w:val="22"/>
        </w:rPr>
        <w:t xml:space="preserve"> Group</w:t>
      </w:r>
      <w:r w:rsidR="00532895">
        <w:rPr>
          <w:sz w:val="22"/>
          <w:szCs w:val="22"/>
        </w:rPr>
        <w:t xml:space="preserve"> complies with the ESFA’s Funding and Performance Management Rules and Subcontractor </w:t>
      </w:r>
      <w:r w:rsidR="00A02A85">
        <w:rPr>
          <w:sz w:val="22"/>
          <w:szCs w:val="22"/>
        </w:rPr>
        <w:t>Rules.</w:t>
      </w:r>
    </w:p>
    <w:p w:rsidR="001554C4" w:rsidRDefault="001554C4" w:rsidP="007369D4">
      <w:pPr>
        <w:jc w:val="both"/>
        <w:rPr>
          <w:rFonts w:ascii="Arial" w:hAnsi="Arial" w:cs="Arial"/>
          <w:color w:val="000000"/>
          <w:sz w:val="22"/>
          <w:szCs w:val="22"/>
        </w:rPr>
      </w:pPr>
    </w:p>
    <w:p w:rsidR="00704885" w:rsidRDefault="00704885">
      <w:pPr>
        <w:rPr>
          <w:rFonts w:ascii="Arial" w:hAnsi="Arial" w:cs="Arial"/>
          <w:b/>
          <w:color w:val="000000"/>
          <w:sz w:val="22"/>
          <w:szCs w:val="22"/>
        </w:rPr>
      </w:pPr>
    </w:p>
    <w:p w:rsidR="009C7063" w:rsidRPr="002D0E2B" w:rsidRDefault="009C7063" w:rsidP="007369D4">
      <w:pPr>
        <w:jc w:val="both"/>
        <w:rPr>
          <w:rFonts w:ascii="Arial" w:hAnsi="Arial" w:cs="Arial"/>
          <w:b/>
          <w:color w:val="000000"/>
          <w:sz w:val="22"/>
          <w:szCs w:val="22"/>
          <w:u w:val="single"/>
        </w:rPr>
      </w:pPr>
      <w:r w:rsidRPr="002D0E2B">
        <w:rPr>
          <w:rFonts w:ascii="Arial" w:hAnsi="Arial" w:cs="Arial"/>
          <w:b/>
          <w:color w:val="000000"/>
          <w:sz w:val="22"/>
          <w:szCs w:val="22"/>
        </w:rPr>
        <w:t>1</w:t>
      </w:r>
      <w:r w:rsidR="006270BE">
        <w:rPr>
          <w:rFonts w:ascii="Arial" w:hAnsi="Arial" w:cs="Arial"/>
          <w:b/>
          <w:color w:val="000000"/>
          <w:sz w:val="22"/>
          <w:szCs w:val="22"/>
        </w:rPr>
        <w:t>5</w:t>
      </w:r>
      <w:r w:rsidRPr="002D0E2B">
        <w:rPr>
          <w:rFonts w:ascii="Arial" w:hAnsi="Arial" w:cs="Arial"/>
          <w:b/>
          <w:color w:val="000000"/>
          <w:sz w:val="22"/>
          <w:szCs w:val="22"/>
        </w:rPr>
        <w:t>.</w:t>
      </w:r>
      <w:r w:rsidRPr="002D0E2B">
        <w:rPr>
          <w:rFonts w:ascii="Arial" w:hAnsi="Arial" w:cs="Arial"/>
          <w:b/>
          <w:color w:val="000000"/>
          <w:sz w:val="22"/>
          <w:szCs w:val="22"/>
        </w:rPr>
        <w:tab/>
      </w:r>
      <w:r w:rsidRPr="002D0E2B">
        <w:rPr>
          <w:rFonts w:ascii="Arial" w:hAnsi="Arial" w:cs="Arial"/>
          <w:b/>
          <w:color w:val="000000"/>
          <w:sz w:val="22"/>
          <w:szCs w:val="22"/>
          <w:u w:val="single"/>
        </w:rPr>
        <w:t>Monitoring and Review</w:t>
      </w:r>
    </w:p>
    <w:p w:rsidR="009C7063" w:rsidRPr="002D0E2B" w:rsidRDefault="009C7063" w:rsidP="00E25EEF">
      <w:pPr>
        <w:ind w:left="720" w:hanging="720"/>
        <w:jc w:val="both"/>
        <w:rPr>
          <w:rFonts w:ascii="Arial" w:hAnsi="Arial" w:cs="Arial"/>
          <w:color w:val="000000"/>
          <w:sz w:val="22"/>
          <w:szCs w:val="22"/>
        </w:rPr>
      </w:pPr>
    </w:p>
    <w:p w:rsidR="001554C4" w:rsidRPr="002D0E2B" w:rsidRDefault="009C7063" w:rsidP="009C7063">
      <w:pPr>
        <w:ind w:left="720" w:hanging="720"/>
        <w:jc w:val="both"/>
        <w:rPr>
          <w:rFonts w:ascii="Arial" w:hAnsi="Arial" w:cs="Arial"/>
          <w:color w:val="000000"/>
          <w:sz w:val="22"/>
          <w:szCs w:val="22"/>
        </w:rPr>
      </w:pPr>
      <w:r w:rsidRPr="002D0E2B">
        <w:rPr>
          <w:rFonts w:ascii="Arial" w:hAnsi="Arial" w:cs="Arial"/>
          <w:color w:val="000000"/>
          <w:sz w:val="22"/>
          <w:szCs w:val="22"/>
        </w:rPr>
        <w:t>1</w:t>
      </w:r>
      <w:r w:rsidR="006270BE">
        <w:rPr>
          <w:rFonts w:ascii="Arial" w:hAnsi="Arial" w:cs="Arial"/>
          <w:color w:val="000000"/>
          <w:sz w:val="22"/>
          <w:szCs w:val="22"/>
        </w:rPr>
        <w:t>5</w:t>
      </w:r>
      <w:r w:rsidR="00E25EEF" w:rsidRPr="002D0E2B">
        <w:rPr>
          <w:rFonts w:ascii="Arial" w:hAnsi="Arial" w:cs="Arial"/>
          <w:color w:val="000000"/>
          <w:sz w:val="22"/>
          <w:szCs w:val="22"/>
        </w:rPr>
        <w:t>.1</w:t>
      </w:r>
      <w:r w:rsidR="00E25EEF" w:rsidRPr="002D0E2B">
        <w:rPr>
          <w:rFonts w:ascii="Arial" w:hAnsi="Arial" w:cs="Arial"/>
          <w:color w:val="000000"/>
          <w:sz w:val="22"/>
          <w:szCs w:val="22"/>
        </w:rPr>
        <w:tab/>
      </w:r>
      <w:r w:rsidR="00FB2A8E" w:rsidRPr="002D0E2B">
        <w:rPr>
          <w:rFonts w:ascii="Arial" w:hAnsi="Arial" w:cs="Arial"/>
          <w:color w:val="000000"/>
          <w:sz w:val="22"/>
          <w:szCs w:val="22"/>
        </w:rPr>
        <w:t xml:space="preserve">The policy will be reviewed annually by </w:t>
      </w:r>
      <w:r w:rsidR="004F1CE6">
        <w:rPr>
          <w:rFonts w:ascii="Arial" w:hAnsi="Arial" w:cs="Arial"/>
          <w:color w:val="000000"/>
          <w:sz w:val="22"/>
          <w:szCs w:val="22"/>
        </w:rPr>
        <w:t xml:space="preserve">the </w:t>
      </w:r>
      <w:r w:rsidR="000252A1">
        <w:rPr>
          <w:rFonts w:ascii="Arial" w:hAnsi="Arial" w:cs="Arial"/>
          <w:color w:val="000000"/>
          <w:sz w:val="22"/>
          <w:szCs w:val="22"/>
        </w:rPr>
        <w:t>Group</w:t>
      </w:r>
      <w:r w:rsidRPr="002D0E2B">
        <w:rPr>
          <w:rFonts w:ascii="Arial" w:hAnsi="Arial" w:cs="Arial"/>
          <w:color w:val="000000"/>
          <w:sz w:val="22"/>
          <w:szCs w:val="22"/>
        </w:rPr>
        <w:t xml:space="preserve">’s </w:t>
      </w:r>
      <w:r w:rsidR="0011359E">
        <w:rPr>
          <w:rFonts w:ascii="Arial" w:hAnsi="Arial" w:cs="Arial"/>
          <w:color w:val="000000"/>
          <w:sz w:val="22"/>
          <w:szCs w:val="22"/>
        </w:rPr>
        <w:t>Assistant Principal – Performance and Planning</w:t>
      </w:r>
      <w:r w:rsidR="00F24B1C" w:rsidRPr="002D0E2B">
        <w:rPr>
          <w:rFonts w:ascii="Arial" w:hAnsi="Arial" w:cs="Arial"/>
          <w:color w:val="000000"/>
          <w:sz w:val="22"/>
          <w:szCs w:val="22"/>
        </w:rPr>
        <w:t>.</w:t>
      </w:r>
    </w:p>
    <w:p w:rsidR="009C7063" w:rsidRDefault="009C7063" w:rsidP="007369D4">
      <w:pPr>
        <w:jc w:val="both"/>
        <w:rPr>
          <w:rFonts w:ascii="Arial" w:hAnsi="Arial" w:cs="Arial"/>
          <w:sz w:val="22"/>
          <w:szCs w:val="22"/>
        </w:rPr>
      </w:pPr>
    </w:p>
    <w:p w:rsidR="00704885" w:rsidRPr="002D0E2B" w:rsidRDefault="00704885" w:rsidP="007369D4">
      <w:pPr>
        <w:jc w:val="both"/>
        <w:rPr>
          <w:rFonts w:ascii="Arial" w:hAnsi="Arial" w:cs="Arial"/>
          <w:sz w:val="22"/>
          <w:szCs w:val="22"/>
        </w:rPr>
      </w:pPr>
    </w:p>
    <w:p w:rsidR="009C7063" w:rsidRPr="002D0E2B" w:rsidRDefault="009C7063" w:rsidP="007369D4">
      <w:pPr>
        <w:jc w:val="both"/>
        <w:rPr>
          <w:rFonts w:ascii="Arial" w:hAnsi="Arial" w:cs="Arial"/>
          <w:b/>
          <w:sz w:val="22"/>
          <w:szCs w:val="22"/>
        </w:rPr>
      </w:pPr>
      <w:r w:rsidRPr="002D0E2B">
        <w:rPr>
          <w:rFonts w:ascii="Arial" w:hAnsi="Arial" w:cs="Arial"/>
          <w:b/>
          <w:sz w:val="22"/>
          <w:szCs w:val="22"/>
        </w:rPr>
        <w:t>1</w:t>
      </w:r>
      <w:r w:rsidR="006270BE">
        <w:rPr>
          <w:rFonts w:ascii="Arial" w:hAnsi="Arial" w:cs="Arial"/>
          <w:b/>
          <w:sz w:val="22"/>
          <w:szCs w:val="22"/>
        </w:rPr>
        <w:t>6</w:t>
      </w:r>
      <w:r w:rsidRPr="002D0E2B">
        <w:rPr>
          <w:rFonts w:ascii="Arial" w:hAnsi="Arial" w:cs="Arial"/>
          <w:b/>
          <w:sz w:val="22"/>
          <w:szCs w:val="22"/>
        </w:rPr>
        <w:t>.</w:t>
      </w:r>
      <w:r w:rsidRPr="002D0E2B">
        <w:rPr>
          <w:rFonts w:ascii="Arial" w:hAnsi="Arial" w:cs="Arial"/>
          <w:b/>
          <w:sz w:val="22"/>
          <w:szCs w:val="22"/>
        </w:rPr>
        <w:tab/>
      </w:r>
      <w:r w:rsidRPr="002D0E2B">
        <w:rPr>
          <w:rFonts w:ascii="Arial" w:hAnsi="Arial" w:cs="Arial"/>
          <w:b/>
          <w:sz w:val="22"/>
          <w:szCs w:val="22"/>
          <w:u w:val="single"/>
        </w:rPr>
        <w:t>Management Responsibility</w:t>
      </w:r>
    </w:p>
    <w:p w:rsidR="00017719" w:rsidRPr="002D0E2B" w:rsidRDefault="00017719" w:rsidP="007369D4">
      <w:pPr>
        <w:jc w:val="both"/>
        <w:rPr>
          <w:rFonts w:ascii="Arial" w:hAnsi="Arial" w:cs="Arial"/>
          <w:color w:val="000000" w:themeColor="text1"/>
          <w:sz w:val="22"/>
          <w:szCs w:val="22"/>
        </w:rPr>
      </w:pPr>
    </w:p>
    <w:p w:rsidR="00867BDA" w:rsidRDefault="00FB479D" w:rsidP="008908E5">
      <w:pPr>
        <w:pStyle w:val="ListParagraph"/>
        <w:numPr>
          <w:ilvl w:val="1"/>
          <w:numId w:val="10"/>
        </w:numPr>
        <w:ind w:left="720" w:hanging="720"/>
        <w:jc w:val="both"/>
        <w:rPr>
          <w:rFonts w:ascii="Arial" w:hAnsi="Arial" w:cs="Arial"/>
          <w:color w:val="000000" w:themeColor="text1"/>
          <w:sz w:val="22"/>
          <w:szCs w:val="22"/>
        </w:rPr>
      </w:pPr>
      <w:r w:rsidRPr="006270BE">
        <w:rPr>
          <w:rFonts w:ascii="Arial" w:hAnsi="Arial" w:cs="Arial"/>
          <w:color w:val="000000" w:themeColor="text1"/>
          <w:sz w:val="22"/>
          <w:szCs w:val="22"/>
        </w:rPr>
        <w:t xml:space="preserve">The </w:t>
      </w:r>
      <w:r w:rsidR="0011359E">
        <w:rPr>
          <w:rFonts w:ascii="Arial" w:hAnsi="Arial" w:cs="Arial"/>
          <w:color w:val="000000" w:themeColor="text1"/>
          <w:sz w:val="22"/>
          <w:szCs w:val="22"/>
        </w:rPr>
        <w:t>Assistant Principal - Performance</w:t>
      </w:r>
      <w:r w:rsidR="00AE1F1B">
        <w:rPr>
          <w:rFonts w:ascii="Arial" w:hAnsi="Arial" w:cs="Arial"/>
          <w:color w:val="000000" w:themeColor="text1"/>
          <w:sz w:val="22"/>
          <w:szCs w:val="22"/>
        </w:rPr>
        <w:t xml:space="preserve"> and Planning</w:t>
      </w:r>
      <w:r w:rsidRPr="006270BE">
        <w:rPr>
          <w:rFonts w:ascii="Arial" w:hAnsi="Arial" w:cs="Arial"/>
          <w:color w:val="000000" w:themeColor="text1"/>
          <w:sz w:val="22"/>
          <w:szCs w:val="22"/>
        </w:rPr>
        <w:t xml:space="preserve"> </w:t>
      </w:r>
      <w:r w:rsidR="009C7063" w:rsidRPr="006270BE">
        <w:rPr>
          <w:rFonts w:ascii="Arial" w:hAnsi="Arial" w:cs="Arial"/>
          <w:color w:val="000000" w:themeColor="text1"/>
          <w:sz w:val="22"/>
          <w:szCs w:val="22"/>
        </w:rPr>
        <w:t xml:space="preserve">has management responsibility for this policy </w:t>
      </w:r>
      <w:r w:rsidRPr="006270BE">
        <w:rPr>
          <w:rFonts w:ascii="Arial" w:hAnsi="Arial" w:cs="Arial"/>
          <w:color w:val="000000" w:themeColor="text1"/>
          <w:sz w:val="22"/>
          <w:szCs w:val="22"/>
        </w:rPr>
        <w:t xml:space="preserve">across </w:t>
      </w:r>
      <w:r w:rsidR="004F1CE6">
        <w:rPr>
          <w:rFonts w:ascii="Arial" w:hAnsi="Arial" w:cs="Arial"/>
          <w:color w:val="000000" w:themeColor="text1"/>
          <w:sz w:val="22"/>
          <w:szCs w:val="22"/>
        </w:rPr>
        <w:t xml:space="preserve">the </w:t>
      </w:r>
      <w:r w:rsidR="000252A1">
        <w:rPr>
          <w:rFonts w:ascii="Arial" w:hAnsi="Arial" w:cs="Arial"/>
          <w:color w:val="000000" w:themeColor="text1"/>
          <w:sz w:val="22"/>
          <w:szCs w:val="22"/>
        </w:rPr>
        <w:t>Group</w:t>
      </w:r>
      <w:r w:rsidR="009C7063" w:rsidRPr="006270BE">
        <w:rPr>
          <w:rFonts w:ascii="Arial" w:hAnsi="Arial" w:cs="Arial"/>
          <w:color w:val="000000" w:themeColor="text1"/>
          <w:sz w:val="22"/>
          <w:szCs w:val="22"/>
        </w:rPr>
        <w:t>.</w:t>
      </w:r>
    </w:p>
    <w:p w:rsidR="00A336D7" w:rsidRDefault="00A336D7" w:rsidP="00A336D7">
      <w:pPr>
        <w:jc w:val="both"/>
        <w:rPr>
          <w:rFonts w:ascii="Arial" w:hAnsi="Arial" w:cs="Arial"/>
          <w:color w:val="000000" w:themeColor="text1"/>
          <w:sz w:val="22"/>
          <w:szCs w:val="22"/>
        </w:rPr>
      </w:pPr>
    </w:p>
    <w:p w:rsidR="00A336D7" w:rsidRPr="00A336D7" w:rsidRDefault="00A336D7" w:rsidP="00A336D7">
      <w:pPr>
        <w:jc w:val="both"/>
        <w:rPr>
          <w:rFonts w:ascii="Arial" w:hAnsi="Arial" w:cs="Arial"/>
          <w:color w:val="000000" w:themeColor="text1"/>
          <w:sz w:val="22"/>
          <w:szCs w:val="22"/>
        </w:rPr>
      </w:pPr>
    </w:p>
    <w:p w:rsidR="009C7063" w:rsidRPr="002D0E2B" w:rsidRDefault="009C7063" w:rsidP="007369D4">
      <w:pPr>
        <w:jc w:val="both"/>
        <w:rPr>
          <w:rFonts w:ascii="Arial" w:hAnsi="Arial" w:cs="Arial"/>
          <w:b/>
          <w:sz w:val="22"/>
          <w:szCs w:val="22"/>
        </w:rPr>
      </w:pPr>
      <w:r w:rsidRPr="002D0E2B">
        <w:rPr>
          <w:rFonts w:ascii="Arial" w:hAnsi="Arial" w:cs="Arial"/>
          <w:b/>
          <w:sz w:val="22"/>
          <w:szCs w:val="22"/>
        </w:rPr>
        <w:t>1</w:t>
      </w:r>
      <w:r w:rsidR="006270BE">
        <w:rPr>
          <w:rFonts w:ascii="Arial" w:hAnsi="Arial" w:cs="Arial"/>
          <w:b/>
          <w:sz w:val="22"/>
          <w:szCs w:val="22"/>
        </w:rPr>
        <w:t>7</w:t>
      </w:r>
      <w:r w:rsidRPr="002D0E2B">
        <w:rPr>
          <w:rFonts w:ascii="Arial" w:hAnsi="Arial" w:cs="Arial"/>
          <w:b/>
          <w:sz w:val="22"/>
          <w:szCs w:val="22"/>
        </w:rPr>
        <w:t>.</w:t>
      </w:r>
      <w:r w:rsidRPr="002D0E2B">
        <w:rPr>
          <w:rFonts w:ascii="Arial" w:hAnsi="Arial" w:cs="Arial"/>
          <w:b/>
          <w:sz w:val="22"/>
          <w:szCs w:val="22"/>
        </w:rPr>
        <w:tab/>
      </w:r>
      <w:r w:rsidRPr="002D0E2B">
        <w:rPr>
          <w:rFonts w:ascii="Arial" w:hAnsi="Arial" w:cs="Arial"/>
          <w:b/>
          <w:sz w:val="22"/>
          <w:szCs w:val="22"/>
          <w:u w:val="single"/>
        </w:rPr>
        <w:t>Equality Impact Assessment</w:t>
      </w:r>
    </w:p>
    <w:p w:rsidR="009C7063" w:rsidRPr="002D0E2B" w:rsidRDefault="009C7063" w:rsidP="00E25EEF">
      <w:pPr>
        <w:ind w:left="720" w:hanging="720"/>
        <w:jc w:val="both"/>
        <w:rPr>
          <w:rFonts w:ascii="Arial" w:hAnsi="Arial" w:cs="Arial"/>
          <w:b/>
          <w:caps/>
          <w:sz w:val="22"/>
          <w:szCs w:val="22"/>
          <w:u w:val="single"/>
        </w:rPr>
      </w:pPr>
    </w:p>
    <w:p w:rsidR="0093715E" w:rsidRPr="003F688D" w:rsidRDefault="009C7063" w:rsidP="00E25EEF">
      <w:pPr>
        <w:ind w:left="720" w:hanging="720"/>
        <w:jc w:val="both"/>
        <w:rPr>
          <w:rFonts w:ascii="Arial" w:hAnsi="Arial" w:cs="Arial"/>
          <w:sz w:val="22"/>
          <w:szCs w:val="22"/>
        </w:rPr>
      </w:pPr>
      <w:r w:rsidRPr="002D0E2B">
        <w:rPr>
          <w:rFonts w:ascii="Arial" w:hAnsi="Arial" w:cs="Arial"/>
          <w:sz w:val="22"/>
          <w:szCs w:val="22"/>
        </w:rPr>
        <w:t>1</w:t>
      </w:r>
      <w:r w:rsidR="006270BE">
        <w:rPr>
          <w:rFonts w:ascii="Arial" w:hAnsi="Arial" w:cs="Arial"/>
          <w:sz w:val="22"/>
          <w:szCs w:val="22"/>
        </w:rPr>
        <w:t>7</w:t>
      </w:r>
      <w:r w:rsidR="00E25EEF" w:rsidRPr="002D0E2B">
        <w:rPr>
          <w:rFonts w:ascii="Arial" w:hAnsi="Arial" w:cs="Arial"/>
          <w:sz w:val="22"/>
          <w:szCs w:val="22"/>
        </w:rPr>
        <w:t>.1</w:t>
      </w:r>
      <w:r w:rsidR="00E25EEF" w:rsidRPr="002D0E2B">
        <w:rPr>
          <w:rFonts w:ascii="Arial" w:hAnsi="Arial" w:cs="Arial"/>
          <w:sz w:val="22"/>
          <w:szCs w:val="22"/>
        </w:rPr>
        <w:tab/>
      </w:r>
      <w:r w:rsidR="0093715E" w:rsidRPr="002D0E2B">
        <w:rPr>
          <w:rFonts w:ascii="Arial" w:hAnsi="Arial" w:cs="Arial"/>
          <w:sz w:val="22"/>
          <w:szCs w:val="22"/>
        </w:rPr>
        <w:t xml:space="preserve">Subcontractors must adhere to the terms and conditions set within </w:t>
      </w:r>
      <w:r w:rsidR="004F1CE6">
        <w:rPr>
          <w:rFonts w:ascii="Arial" w:hAnsi="Arial" w:cs="Arial"/>
          <w:sz w:val="22"/>
          <w:szCs w:val="22"/>
        </w:rPr>
        <w:t>the</w:t>
      </w:r>
      <w:r w:rsidR="000252A1">
        <w:rPr>
          <w:rFonts w:ascii="Arial" w:hAnsi="Arial" w:cs="Arial"/>
          <w:sz w:val="22"/>
          <w:szCs w:val="22"/>
        </w:rPr>
        <w:t xml:space="preserve"> Group</w:t>
      </w:r>
      <w:r w:rsidR="006D7F73" w:rsidRPr="002D0E2B">
        <w:rPr>
          <w:rFonts w:ascii="Arial" w:hAnsi="Arial" w:cs="Arial"/>
          <w:sz w:val="22"/>
          <w:szCs w:val="22"/>
        </w:rPr>
        <w:t>’s</w:t>
      </w:r>
      <w:r w:rsidR="0093715E" w:rsidRPr="002D0E2B">
        <w:rPr>
          <w:rFonts w:ascii="Arial" w:hAnsi="Arial" w:cs="Arial"/>
          <w:sz w:val="22"/>
          <w:szCs w:val="22"/>
        </w:rPr>
        <w:t xml:space="preserve"> </w:t>
      </w:r>
      <w:r w:rsidR="003F688D" w:rsidRPr="003F688D">
        <w:rPr>
          <w:rFonts w:ascii="Arial" w:hAnsi="Arial" w:cs="Arial"/>
          <w:sz w:val="22"/>
          <w:szCs w:val="22"/>
        </w:rPr>
        <w:t>Equality</w:t>
      </w:r>
      <w:r w:rsidR="00C11988">
        <w:rPr>
          <w:rFonts w:ascii="Arial" w:hAnsi="Arial" w:cs="Arial"/>
          <w:sz w:val="22"/>
          <w:szCs w:val="22"/>
        </w:rPr>
        <w:t>,</w:t>
      </w:r>
      <w:r w:rsidR="003F688D" w:rsidRPr="003F688D">
        <w:rPr>
          <w:rFonts w:ascii="Arial" w:hAnsi="Arial" w:cs="Arial"/>
          <w:sz w:val="22"/>
          <w:szCs w:val="22"/>
        </w:rPr>
        <w:t xml:space="preserve"> Diversity and Inclusion Policy</w:t>
      </w:r>
      <w:r w:rsidR="002D0E2B" w:rsidRPr="003F688D">
        <w:rPr>
          <w:rFonts w:ascii="Arial" w:hAnsi="Arial" w:cs="Arial"/>
          <w:sz w:val="22"/>
          <w:szCs w:val="22"/>
        </w:rPr>
        <w:t>.</w:t>
      </w:r>
    </w:p>
    <w:p w:rsidR="005E3973" w:rsidRDefault="005E3973" w:rsidP="005E3973">
      <w:pPr>
        <w:autoSpaceDE w:val="0"/>
        <w:autoSpaceDN w:val="0"/>
        <w:adjustRightInd w:val="0"/>
        <w:rPr>
          <w:rFonts w:ascii="Arial" w:hAnsi="Arial" w:cs="Arial"/>
          <w:sz w:val="22"/>
          <w:szCs w:val="22"/>
        </w:rPr>
      </w:pPr>
    </w:p>
    <w:p w:rsidR="002E2CDE" w:rsidRDefault="002E2CDE">
      <w:pPr>
        <w:rPr>
          <w:rFonts w:ascii="Arial" w:hAnsi="Arial" w:cs="Arial"/>
          <w:sz w:val="22"/>
          <w:szCs w:val="22"/>
        </w:rPr>
      </w:pPr>
    </w:p>
    <w:sectPr w:rsidR="002E2CDE" w:rsidSect="00C86AB6">
      <w:pgSz w:w="12240" w:h="15840"/>
      <w:pgMar w:top="1440" w:right="1183"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94" w:rsidRDefault="00EB6A94" w:rsidP="005E3973">
      <w:r>
        <w:separator/>
      </w:r>
    </w:p>
  </w:endnote>
  <w:endnote w:type="continuationSeparator" w:id="0">
    <w:p w:rsidR="00EB6A94" w:rsidRDefault="00EB6A94" w:rsidP="005E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ellation TL Pro Bold">
    <w:altName w:val="Constellation TL Pro Bold"/>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13" w:rsidRDefault="00D27513" w:rsidP="00BB25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7513" w:rsidRDefault="00D27513" w:rsidP="00BB25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140484"/>
      <w:docPartObj>
        <w:docPartGallery w:val="Page Numbers (Bottom of Page)"/>
        <w:docPartUnique/>
      </w:docPartObj>
    </w:sdtPr>
    <w:sdtEndPr>
      <w:rPr>
        <w:noProof/>
      </w:rPr>
    </w:sdtEndPr>
    <w:sdtContent>
      <w:p w:rsidR="00D27513" w:rsidRDefault="00D275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27513" w:rsidRDefault="00D27513" w:rsidP="00BB25D8">
    <w:pPr>
      <w:pStyle w:val="Footer"/>
      <w:ind w:right="360"/>
    </w:pPr>
    <w:r>
      <w:rPr>
        <w:noProof/>
        <w:lang w:val="en-GB" w:eastAsia="en-GB"/>
      </w:rPr>
      <mc:AlternateContent>
        <mc:Choice Requires="wps">
          <w:drawing>
            <wp:anchor distT="0" distB="0" distL="114300" distR="114300" simplePos="0" relativeHeight="251661312" behindDoc="0" locked="0" layoutInCell="0" allowOverlap="1" wp14:anchorId="0C05529C" wp14:editId="433EEC3C">
              <wp:simplePos x="0" y="0"/>
              <wp:positionH relativeFrom="page">
                <wp:posOffset>0</wp:posOffset>
              </wp:positionH>
              <wp:positionV relativeFrom="page">
                <wp:posOffset>9601200</wp:posOffset>
              </wp:positionV>
              <wp:extent cx="7772400" cy="266700"/>
              <wp:effectExtent l="0" t="0" r="0" b="0"/>
              <wp:wrapNone/>
              <wp:docPr id="4" name="MSIPCMb836412c9eb28fc68e7d37b4" descr="{&quot;HashCode&quot;:-78740892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27513" w:rsidRPr="004319E0" w:rsidRDefault="00D27513" w:rsidP="004319E0">
                          <w:pPr>
                            <w:rPr>
                              <w:rFonts w:ascii="Calibri" w:hAnsi="Calibri"/>
                              <w:color w:val="3171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05529C" id="_x0000_t202" coordsize="21600,21600" o:spt="202" path="m,l,21600r21600,l21600,xe">
              <v:stroke joinstyle="miter"/>
              <v:path gradientshapeok="t" o:connecttype="rect"/>
            </v:shapetype>
            <v:shape id="MSIPCMb836412c9eb28fc68e7d37b4" o:spid="_x0000_s1027" type="#_x0000_t202" alt="{&quot;HashCode&quot;:-787408920,&quot;Height&quot;:792.0,&quot;Width&quot;:612.0,&quot;Placement&quot;:&quot;Footer&quot;,&quot;Index&quot;:&quot;Primary&quot;,&quot;Section&quot;:1,&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Cd5v3uGgMAAD4GAAAOAAAAAAAAAAAAAAAA&#10;AC4CAABkcnMvZTJvRG9jLnhtbFBLAQItABQABgAIAAAAIQC7QO0x3AAAAAsBAAAPAAAAAAAAAAAA&#10;AAAAAHQFAABkcnMvZG93bnJldi54bWxQSwUGAAAAAAQABADzAAAAfQYAAAAA&#10;" o:allowincell="f" filled="f" stroked="f" strokeweight=".5pt">
              <v:textbox inset="20pt,0,,0">
                <w:txbxContent>
                  <w:p w:rsidR="00D27513" w:rsidRPr="004319E0" w:rsidRDefault="00D27513" w:rsidP="004319E0">
                    <w:pPr>
                      <w:rPr>
                        <w:rFonts w:ascii="Calibri" w:hAnsi="Calibri"/>
                        <w:color w:val="3171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13" w:rsidRDefault="00D27513">
    <w:pPr>
      <w:pStyle w:val="Footer"/>
    </w:pPr>
    <w:r>
      <w:rPr>
        <w:noProof/>
        <w:lang w:val="en-GB" w:eastAsia="en-GB"/>
      </w:rPr>
      <mc:AlternateContent>
        <mc:Choice Requires="wps">
          <w:drawing>
            <wp:anchor distT="0" distB="0" distL="114300" distR="114300" simplePos="0" relativeHeight="251662336" behindDoc="0" locked="0" layoutInCell="0" allowOverlap="1" wp14:anchorId="11522877" wp14:editId="17E71F18">
              <wp:simplePos x="0" y="0"/>
              <wp:positionH relativeFrom="page">
                <wp:posOffset>0</wp:posOffset>
              </wp:positionH>
              <wp:positionV relativeFrom="page">
                <wp:posOffset>9601200</wp:posOffset>
              </wp:positionV>
              <wp:extent cx="7772400" cy="266700"/>
              <wp:effectExtent l="0" t="0" r="0" b="0"/>
              <wp:wrapNone/>
              <wp:docPr id="7" name="MSIPCM4217482b9a88ea08a41ae6ed" descr="{&quot;HashCode&quot;:-78740892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27513" w:rsidRPr="004319E0" w:rsidRDefault="00D27513" w:rsidP="004319E0">
                          <w:pPr>
                            <w:rPr>
                              <w:rFonts w:ascii="Calibri" w:hAnsi="Calibri"/>
                              <w:color w:val="3171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522877" id="_x0000_t202" coordsize="21600,21600" o:spt="202" path="m,l,21600r21600,l21600,xe">
              <v:stroke joinstyle="miter"/>
              <v:path gradientshapeok="t" o:connecttype="rect"/>
            </v:shapetype>
            <v:shape id="MSIPCM4217482b9a88ea08a41ae6ed" o:spid="_x0000_s1029" type="#_x0000_t202" alt="{&quot;HashCode&quot;:-787408920,&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soVUdGgMAAEAGAAAOAAAAAAAAAAAAAAAA&#10;AC4CAABkcnMvZTJvRG9jLnhtbFBLAQItABQABgAIAAAAIQC7QO0x3AAAAAsBAAAPAAAAAAAAAAAA&#10;AAAAAHQFAABkcnMvZG93bnJldi54bWxQSwUGAAAAAAQABADzAAAAfQYAAAAA&#10;" o:allowincell="f" filled="f" stroked="f" strokeweight=".5pt">
              <v:textbox inset="20pt,0,,0">
                <w:txbxContent>
                  <w:p w:rsidR="00D27513" w:rsidRPr="004319E0" w:rsidRDefault="00D27513" w:rsidP="004319E0">
                    <w:pPr>
                      <w:rPr>
                        <w:rFonts w:ascii="Calibri" w:hAnsi="Calibri"/>
                        <w:color w:val="3171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94" w:rsidRDefault="00EB6A94" w:rsidP="005E3973">
      <w:r>
        <w:separator/>
      </w:r>
    </w:p>
  </w:footnote>
  <w:footnote w:type="continuationSeparator" w:id="0">
    <w:p w:rsidR="00EB6A94" w:rsidRDefault="00EB6A94" w:rsidP="005E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13" w:rsidRDefault="00D27513" w:rsidP="00753CD6">
    <w:pPr>
      <w:ind w:right="-20"/>
      <w:rPr>
        <w:sz w:val="20"/>
        <w:szCs w:val="20"/>
      </w:rPr>
    </w:pPr>
    <w:r>
      <w:rPr>
        <w:noProof/>
        <w:sz w:val="20"/>
        <w:szCs w:val="20"/>
      </w:rPr>
      <mc:AlternateContent>
        <mc:Choice Requires="wps">
          <w:drawing>
            <wp:anchor distT="0" distB="0" distL="114300" distR="114300" simplePos="0" relativeHeight="251659264" behindDoc="0" locked="0" layoutInCell="0" allowOverlap="1" wp14:anchorId="1A52D558" wp14:editId="76CF5BE5">
              <wp:simplePos x="0" y="0"/>
              <wp:positionH relativeFrom="page">
                <wp:posOffset>0</wp:posOffset>
              </wp:positionH>
              <wp:positionV relativeFrom="page">
                <wp:posOffset>190500</wp:posOffset>
              </wp:positionV>
              <wp:extent cx="7772400" cy="266700"/>
              <wp:effectExtent l="0" t="0" r="0" b="0"/>
              <wp:wrapNone/>
              <wp:docPr id="2" name="MSIPCMfa584e9f9aa12e60a02de70f" descr="{&quot;HashCode&quot;:-81154648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27513" w:rsidRPr="004319E0" w:rsidRDefault="00D27513" w:rsidP="004319E0">
                          <w:pPr>
                            <w:rPr>
                              <w:rFonts w:ascii="Calibri" w:hAnsi="Calibri"/>
                              <w:color w:val="3171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A52D558" id="_x0000_t202" coordsize="21600,21600" o:spt="202" path="m,l,21600r21600,l21600,xe">
              <v:stroke joinstyle="miter"/>
              <v:path gradientshapeok="t" o:connecttype="rect"/>
            </v:shapetype>
            <v:shape id="MSIPCMfa584e9f9aa12e60a02de70f" o:spid="_x0000_s1026" type="#_x0000_t202" alt="{&quot;HashCode&quot;:-811546489,&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" o:allowincell="f" filled="f" stroked="f" strokeweight=".5pt">
              <v:textbox inset="20pt,0,,0">
                <w:txbxContent>
                  <w:p w:rsidR="00D27513" w:rsidRPr="004319E0" w:rsidRDefault="00D27513" w:rsidP="004319E0">
                    <w:pPr>
                      <w:rPr>
                        <w:rFonts w:ascii="Calibri" w:hAnsi="Calibri"/>
                        <w:color w:val="317100"/>
                        <w:sz w:val="20"/>
                      </w:rPr>
                    </w:pPr>
                  </w:p>
                </w:txbxContent>
              </v:textbox>
              <w10:wrap anchorx="page" anchory="page"/>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27513" w:rsidRDefault="00D27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513" w:rsidRDefault="00D27513">
    <w:pPr>
      <w:pStyle w:val="Header"/>
    </w:pPr>
    <w:r>
      <w:rPr>
        <w:noProof/>
        <w:lang w:val="en-GB" w:eastAsia="en-GB"/>
      </w:rPr>
      <mc:AlternateContent>
        <mc:Choice Requires="wps">
          <w:drawing>
            <wp:anchor distT="0" distB="0" distL="114300" distR="114300" simplePos="0" relativeHeight="251660288" behindDoc="0" locked="0" layoutInCell="0" allowOverlap="1" wp14:anchorId="5FF99129" wp14:editId="0442CA29">
              <wp:simplePos x="0" y="0"/>
              <wp:positionH relativeFrom="page">
                <wp:posOffset>0</wp:posOffset>
              </wp:positionH>
              <wp:positionV relativeFrom="page">
                <wp:posOffset>190500</wp:posOffset>
              </wp:positionV>
              <wp:extent cx="7772400" cy="266700"/>
              <wp:effectExtent l="0" t="0" r="0" b="0"/>
              <wp:wrapNone/>
              <wp:docPr id="3" name="MSIPCM06cb4b3db21a98b6fbdf5a86" descr="{&quot;HashCode&quot;:-81154648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27513" w:rsidRPr="004319E0" w:rsidRDefault="00D27513" w:rsidP="004319E0">
                          <w:pPr>
                            <w:rPr>
                              <w:rFonts w:ascii="Calibri" w:hAnsi="Calibri"/>
                              <w:color w:val="3171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F99129" id="_x0000_t202" coordsize="21600,21600" o:spt="202" path="m,l,21600r21600,l21600,xe">
              <v:stroke joinstyle="miter"/>
              <v:path gradientshapeok="t" o:connecttype="rect"/>
            </v:shapetype>
            <v:shape id="MSIPCM06cb4b3db21a98b6fbdf5a86" o:spid="_x0000_s1028" type="#_x0000_t202" alt="{&quot;HashCode&quot;:-811546489,&quot;Height&quot;:792.0,&quot;Width&quot;:612.0,&quot;Placement&quot;:&quot;Header&quot;,&quot;Index&quot;:&quot;FirstPage&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" o:allowincell="f" filled="f" stroked="f" strokeweight=".5pt">
              <v:textbox inset="20pt,0,,0">
                <w:txbxContent>
                  <w:p w:rsidR="00D27513" w:rsidRPr="004319E0" w:rsidRDefault="00D27513" w:rsidP="004319E0">
                    <w:pPr>
                      <w:rPr>
                        <w:rFonts w:ascii="Calibri" w:hAnsi="Calibri"/>
                        <w:color w:val="3171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455F"/>
    <w:multiLevelType w:val="hybridMultilevel"/>
    <w:tmpl w:val="39C4A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377444"/>
    <w:multiLevelType w:val="multilevel"/>
    <w:tmpl w:val="5180F54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5436A9"/>
    <w:multiLevelType w:val="hybridMultilevel"/>
    <w:tmpl w:val="414EB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1574CD"/>
    <w:multiLevelType w:val="hybridMultilevel"/>
    <w:tmpl w:val="590A4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404941"/>
    <w:multiLevelType w:val="multilevel"/>
    <w:tmpl w:val="327E9BF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770B5"/>
    <w:multiLevelType w:val="hybridMultilevel"/>
    <w:tmpl w:val="4C248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AD4A05"/>
    <w:multiLevelType w:val="hybridMultilevel"/>
    <w:tmpl w:val="2982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E7A5D"/>
    <w:multiLevelType w:val="hybridMultilevel"/>
    <w:tmpl w:val="258CD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8742A2"/>
    <w:multiLevelType w:val="multilevel"/>
    <w:tmpl w:val="EF2AE07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7D22CA"/>
    <w:multiLevelType w:val="hybridMultilevel"/>
    <w:tmpl w:val="B122D2E6"/>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 w15:restartNumberingAfterBreak="0">
    <w:nsid w:val="47803C45"/>
    <w:multiLevelType w:val="hybridMultilevel"/>
    <w:tmpl w:val="BAB06E0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712001"/>
    <w:multiLevelType w:val="multilevel"/>
    <w:tmpl w:val="03D8BF80"/>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63352D64"/>
    <w:multiLevelType w:val="hybridMultilevel"/>
    <w:tmpl w:val="1944B2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675442A0"/>
    <w:multiLevelType w:val="hybridMultilevel"/>
    <w:tmpl w:val="8A487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643D62"/>
    <w:multiLevelType w:val="multilevel"/>
    <w:tmpl w:val="18C46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1A5371"/>
    <w:multiLevelType w:val="multilevel"/>
    <w:tmpl w:val="CEB2FE0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E40A35"/>
    <w:multiLevelType w:val="hybridMultilevel"/>
    <w:tmpl w:val="96E67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3"/>
  </w:num>
  <w:num w:numId="4">
    <w:abstractNumId w:val="0"/>
  </w:num>
  <w:num w:numId="5">
    <w:abstractNumId w:val="13"/>
  </w:num>
  <w:num w:numId="6">
    <w:abstractNumId w:val="6"/>
  </w:num>
  <w:num w:numId="7">
    <w:abstractNumId w:val="14"/>
  </w:num>
  <w:num w:numId="8">
    <w:abstractNumId w:val="12"/>
  </w:num>
  <w:num w:numId="9">
    <w:abstractNumId w:val="8"/>
  </w:num>
  <w:num w:numId="10">
    <w:abstractNumId w:val="1"/>
  </w:num>
  <w:num w:numId="11">
    <w:abstractNumId w:val="5"/>
  </w:num>
  <w:num w:numId="12">
    <w:abstractNumId w:val="2"/>
  </w:num>
  <w:num w:numId="13">
    <w:abstractNumId w:val="16"/>
  </w:num>
  <w:num w:numId="14">
    <w:abstractNumId w:val="10"/>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C1"/>
    <w:rsid w:val="00002684"/>
    <w:rsid w:val="000170BC"/>
    <w:rsid w:val="00017719"/>
    <w:rsid w:val="000209D5"/>
    <w:rsid w:val="000252A1"/>
    <w:rsid w:val="00026313"/>
    <w:rsid w:val="00037B31"/>
    <w:rsid w:val="000669E4"/>
    <w:rsid w:val="00085F1F"/>
    <w:rsid w:val="00092EDD"/>
    <w:rsid w:val="000937B7"/>
    <w:rsid w:val="00095A46"/>
    <w:rsid w:val="000B2445"/>
    <w:rsid w:val="000B7BA5"/>
    <w:rsid w:val="000E16D4"/>
    <w:rsid w:val="000E3C05"/>
    <w:rsid w:val="000E7BCF"/>
    <w:rsid w:val="00100DC7"/>
    <w:rsid w:val="0011359E"/>
    <w:rsid w:val="00117B90"/>
    <w:rsid w:val="001221AB"/>
    <w:rsid w:val="00135903"/>
    <w:rsid w:val="00140277"/>
    <w:rsid w:val="00145B6F"/>
    <w:rsid w:val="00153B81"/>
    <w:rsid w:val="001554C4"/>
    <w:rsid w:val="00157838"/>
    <w:rsid w:val="001630A8"/>
    <w:rsid w:val="00191B29"/>
    <w:rsid w:val="001A4C0F"/>
    <w:rsid w:val="001A6706"/>
    <w:rsid w:val="001B15B4"/>
    <w:rsid w:val="001B6687"/>
    <w:rsid w:val="001B794C"/>
    <w:rsid w:val="001E4A88"/>
    <w:rsid w:val="001E6268"/>
    <w:rsid w:val="001F0BA8"/>
    <w:rsid w:val="001F5264"/>
    <w:rsid w:val="00210FCB"/>
    <w:rsid w:val="0021405A"/>
    <w:rsid w:val="002157D7"/>
    <w:rsid w:val="0021658B"/>
    <w:rsid w:val="00227C4B"/>
    <w:rsid w:val="00240AFE"/>
    <w:rsid w:val="002526E5"/>
    <w:rsid w:val="0025369E"/>
    <w:rsid w:val="002941CE"/>
    <w:rsid w:val="002A31F5"/>
    <w:rsid w:val="002B547F"/>
    <w:rsid w:val="002C25C1"/>
    <w:rsid w:val="002D0E2B"/>
    <w:rsid w:val="002E2CDE"/>
    <w:rsid w:val="002F63EA"/>
    <w:rsid w:val="00302468"/>
    <w:rsid w:val="003041A2"/>
    <w:rsid w:val="0030673A"/>
    <w:rsid w:val="003179BC"/>
    <w:rsid w:val="00331461"/>
    <w:rsid w:val="00334DEE"/>
    <w:rsid w:val="00345A6D"/>
    <w:rsid w:val="00370FEA"/>
    <w:rsid w:val="0037634B"/>
    <w:rsid w:val="003A4603"/>
    <w:rsid w:val="003A57A2"/>
    <w:rsid w:val="003A6CCD"/>
    <w:rsid w:val="003A720E"/>
    <w:rsid w:val="003B1469"/>
    <w:rsid w:val="003B1642"/>
    <w:rsid w:val="003B21A6"/>
    <w:rsid w:val="003C0CC3"/>
    <w:rsid w:val="003C60D3"/>
    <w:rsid w:val="003D2EF5"/>
    <w:rsid w:val="003F3B30"/>
    <w:rsid w:val="003F667A"/>
    <w:rsid w:val="003F688D"/>
    <w:rsid w:val="004007A5"/>
    <w:rsid w:val="00410F7E"/>
    <w:rsid w:val="004120C1"/>
    <w:rsid w:val="00416010"/>
    <w:rsid w:val="00416203"/>
    <w:rsid w:val="004319E0"/>
    <w:rsid w:val="00440897"/>
    <w:rsid w:val="00452711"/>
    <w:rsid w:val="004548FD"/>
    <w:rsid w:val="00495CC5"/>
    <w:rsid w:val="004A21E3"/>
    <w:rsid w:val="004A4A83"/>
    <w:rsid w:val="004B0D7E"/>
    <w:rsid w:val="004C6024"/>
    <w:rsid w:val="004C7F8F"/>
    <w:rsid w:val="004E11F3"/>
    <w:rsid w:val="004F1CE6"/>
    <w:rsid w:val="005009C1"/>
    <w:rsid w:val="0052750E"/>
    <w:rsid w:val="00531AD5"/>
    <w:rsid w:val="00532470"/>
    <w:rsid w:val="00532895"/>
    <w:rsid w:val="00551014"/>
    <w:rsid w:val="00551EB9"/>
    <w:rsid w:val="00554CC0"/>
    <w:rsid w:val="005553C8"/>
    <w:rsid w:val="005701D2"/>
    <w:rsid w:val="005B52E6"/>
    <w:rsid w:val="005C477E"/>
    <w:rsid w:val="005D71EA"/>
    <w:rsid w:val="005E3973"/>
    <w:rsid w:val="005E4AD3"/>
    <w:rsid w:val="006270BE"/>
    <w:rsid w:val="00644384"/>
    <w:rsid w:val="00646A01"/>
    <w:rsid w:val="00646A23"/>
    <w:rsid w:val="00652DDB"/>
    <w:rsid w:val="006756BF"/>
    <w:rsid w:val="00681916"/>
    <w:rsid w:val="00693B02"/>
    <w:rsid w:val="00694B2A"/>
    <w:rsid w:val="006B358D"/>
    <w:rsid w:val="006D724D"/>
    <w:rsid w:val="006D7F73"/>
    <w:rsid w:val="006E2965"/>
    <w:rsid w:val="006F081B"/>
    <w:rsid w:val="007027BA"/>
    <w:rsid w:val="00704885"/>
    <w:rsid w:val="00705183"/>
    <w:rsid w:val="00717707"/>
    <w:rsid w:val="00723FBB"/>
    <w:rsid w:val="007369D4"/>
    <w:rsid w:val="0074148B"/>
    <w:rsid w:val="00742A31"/>
    <w:rsid w:val="00742B6F"/>
    <w:rsid w:val="00743203"/>
    <w:rsid w:val="007530C3"/>
    <w:rsid w:val="00753CD6"/>
    <w:rsid w:val="00756E4B"/>
    <w:rsid w:val="00762ED3"/>
    <w:rsid w:val="0076312C"/>
    <w:rsid w:val="00766FE0"/>
    <w:rsid w:val="00774057"/>
    <w:rsid w:val="00776D30"/>
    <w:rsid w:val="0078371D"/>
    <w:rsid w:val="00786888"/>
    <w:rsid w:val="00787126"/>
    <w:rsid w:val="00793851"/>
    <w:rsid w:val="007A4212"/>
    <w:rsid w:val="007B3C1D"/>
    <w:rsid w:val="007B5780"/>
    <w:rsid w:val="007C3925"/>
    <w:rsid w:val="007E0DB2"/>
    <w:rsid w:val="007E219F"/>
    <w:rsid w:val="007E61C0"/>
    <w:rsid w:val="007F7B1F"/>
    <w:rsid w:val="00804A17"/>
    <w:rsid w:val="00806CA3"/>
    <w:rsid w:val="0083619B"/>
    <w:rsid w:val="008404E8"/>
    <w:rsid w:val="008506E4"/>
    <w:rsid w:val="00860D2C"/>
    <w:rsid w:val="00862698"/>
    <w:rsid w:val="00865C20"/>
    <w:rsid w:val="00865D84"/>
    <w:rsid w:val="00867BDA"/>
    <w:rsid w:val="00873909"/>
    <w:rsid w:val="00874178"/>
    <w:rsid w:val="008908E5"/>
    <w:rsid w:val="008A5E67"/>
    <w:rsid w:val="008B5709"/>
    <w:rsid w:val="008B58A7"/>
    <w:rsid w:val="008E10C1"/>
    <w:rsid w:val="008E110F"/>
    <w:rsid w:val="008E2755"/>
    <w:rsid w:val="008E311F"/>
    <w:rsid w:val="008F6BD5"/>
    <w:rsid w:val="00913099"/>
    <w:rsid w:val="00927196"/>
    <w:rsid w:val="00931DB1"/>
    <w:rsid w:val="009352B0"/>
    <w:rsid w:val="0093715E"/>
    <w:rsid w:val="0094561B"/>
    <w:rsid w:val="0095542D"/>
    <w:rsid w:val="009755E0"/>
    <w:rsid w:val="009A496B"/>
    <w:rsid w:val="009C7063"/>
    <w:rsid w:val="009E4761"/>
    <w:rsid w:val="009F19FC"/>
    <w:rsid w:val="009F4190"/>
    <w:rsid w:val="009F4B06"/>
    <w:rsid w:val="00A024DF"/>
    <w:rsid w:val="00A02A85"/>
    <w:rsid w:val="00A034C3"/>
    <w:rsid w:val="00A25551"/>
    <w:rsid w:val="00A336D7"/>
    <w:rsid w:val="00A40F43"/>
    <w:rsid w:val="00A457C1"/>
    <w:rsid w:val="00A70C1C"/>
    <w:rsid w:val="00A76007"/>
    <w:rsid w:val="00A7721D"/>
    <w:rsid w:val="00AA1545"/>
    <w:rsid w:val="00AA4EF8"/>
    <w:rsid w:val="00AD7649"/>
    <w:rsid w:val="00AE1F1B"/>
    <w:rsid w:val="00AE1F78"/>
    <w:rsid w:val="00B00986"/>
    <w:rsid w:val="00B03C65"/>
    <w:rsid w:val="00B04F61"/>
    <w:rsid w:val="00B15CC4"/>
    <w:rsid w:val="00B21F2A"/>
    <w:rsid w:val="00B31E9E"/>
    <w:rsid w:val="00B329E7"/>
    <w:rsid w:val="00B32AB0"/>
    <w:rsid w:val="00B4056A"/>
    <w:rsid w:val="00B50C42"/>
    <w:rsid w:val="00B65961"/>
    <w:rsid w:val="00B726EA"/>
    <w:rsid w:val="00BA1F7B"/>
    <w:rsid w:val="00BB25D8"/>
    <w:rsid w:val="00BB5499"/>
    <w:rsid w:val="00BE0421"/>
    <w:rsid w:val="00BF08A8"/>
    <w:rsid w:val="00BF3D3D"/>
    <w:rsid w:val="00BF6F0E"/>
    <w:rsid w:val="00C11988"/>
    <w:rsid w:val="00C150C4"/>
    <w:rsid w:val="00C1598C"/>
    <w:rsid w:val="00C27F9B"/>
    <w:rsid w:val="00C42295"/>
    <w:rsid w:val="00C54E63"/>
    <w:rsid w:val="00C628B5"/>
    <w:rsid w:val="00C77D90"/>
    <w:rsid w:val="00C86AB6"/>
    <w:rsid w:val="00CA16BA"/>
    <w:rsid w:val="00CC7878"/>
    <w:rsid w:val="00CE14A0"/>
    <w:rsid w:val="00CE6588"/>
    <w:rsid w:val="00D148D6"/>
    <w:rsid w:val="00D27513"/>
    <w:rsid w:val="00D41CB6"/>
    <w:rsid w:val="00D51ED6"/>
    <w:rsid w:val="00D75876"/>
    <w:rsid w:val="00D76AF5"/>
    <w:rsid w:val="00D810C2"/>
    <w:rsid w:val="00D900AE"/>
    <w:rsid w:val="00DB297A"/>
    <w:rsid w:val="00DB6C3B"/>
    <w:rsid w:val="00DC5E60"/>
    <w:rsid w:val="00DC7086"/>
    <w:rsid w:val="00DD0844"/>
    <w:rsid w:val="00DD4419"/>
    <w:rsid w:val="00DF0785"/>
    <w:rsid w:val="00E1352A"/>
    <w:rsid w:val="00E20CC8"/>
    <w:rsid w:val="00E25B88"/>
    <w:rsid w:val="00E25EEF"/>
    <w:rsid w:val="00E83BF3"/>
    <w:rsid w:val="00E86265"/>
    <w:rsid w:val="00E911C5"/>
    <w:rsid w:val="00EB6A94"/>
    <w:rsid w:val="00EC20B5"/>
    <w:rsid w:val="00ED1878"/>
    <w:rsid w:val="00ED7692"/>
    <w:rsid w:val="00EE58A7"/>
    <w:rsid w:val="00EF0806"/>
    <w:rsid w:val="00EF6BCC"/>
    <w:rsid w:val="00F13FFB"/>
    <w:rsid w:val="00F146C8"/>
    <w:rsid w:val="00F24B1C"/>
    <w:rsid w:val="00F35DCB"/>
    <w:rsid w:val="00F40227"/>
    <w:rsid w:val="00F76012"/>
    <w:rsid w:val="00F76D88"/>
    <w:rsid w:val="00F9478E"/>
    <w:rsid w:val="00FA6063"/>
    <w:rsid w:val="00FB2A8E"/>
    <w:rsid w:val="00FB479D"/>
    <w:rsid w:val="00FE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E7FA6"/>
  <w15:docId w15:val="{6704968F-9C77-4D31-9815-5557B450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3973"/>
    <w:pPr>
      <w:tabs>
        <w:tab w:val="center" w:pos="4513"/>
        <w:tab w:val="right" w:pos="9026"/>
      </w:tabs>
    </w:pPr>
    <w:rPr>
      <w:lang w:val="x-none" w:eastAsia="x-none"/>
    </w:rPr>
  </w:style>
  <w:style w:type="character" w:customStyle="1" w:styleId="HeaderChar">
    <w:name w:val="Header Char"/>
    <w:link w:val="Header"/>
    <w:rsid w:val="005E3973"/>
    <w:rPr>
      <w:sz w:val="24"/>
      <w:szCs w:val="24"/>
    </w:rPr>
  </w:style>
  <w:style w:type="paragraph" w:styleId="Footer">
    <w:name w:val="footer"/>
    <w:basedOn w:val="Normal"/>
    <w:link w:val="FooterChar"/>
    <w:uiPriority w:val="99"/>
    <w:unhideWhenUsed/>
    <w:rsid w:val="005E3973"/>
    <w:pPr>
      <w:tabs>
        <w:tab w:val="center" w:pos="4513"/>
        <w:tab w:val="right" w:pos="9026"/>
      </w:tabs>
    </w:pPr>
    <w:rPr>
      <w:lang w:val="x-none" w:eastAsia="x-none"/>
    </w:rPr>
  </w:style>
  <w:style w:type="character" w:customStyle="1" w:styleId="FooterChar">
    <w:name w:val="Footer Char"/>
    <w:link w:val="Footer"/>
    <w:uiPriority w:val="99"/>
    <w:rsid w:val="005E3973"/>
    <w:rPr>
      <w:sz w:val="24"/>
      <w:szCs w:val="24"/>
    </w:rPr>
  </w:style>
  <w:style w:type="paragraph" w:customStyle="1" w:styleId="Pa1">
    <w:name w:val="Pa1"/>
    <w:basedOn w:val="Normal"/>
    <w:next w:val="Normal"/>
    <w:uiPriority w:val="99"/>
    <w:rsid w:val="009A496B"/>
    <w:pPr>
      <w:autoSpaceDE w:val="0"/>
      <w:autoSpaceDN w:val="0"/>
      <w:adjustRightInd w:val="0"/>
      <w:spacing w:line="241" w:lineRule="atLeast"/>
    </w:pPr>
    <w:rPr>
      <w:rFonts w:ascii="Constellation TL Pro Bold" w:hAnsi="Constellation TL Pro Bold"/>
    </w:rPr>
  </w:style>
  <w:style w:type="paragraph" w:customStyle="1" w:styleId="Pa2">
    <w:name w:val="Pa2"/>
    <w:basedOn w:val="Normal"/>
    <w:next w:val="Normal"/>
    <w:uiPriority w:val="99"/>
    <w:rsid w:val="009A496B"/>
    <w:pPr>
      <w:autoSpaceDE w:val="0"/>
      <w:autoSpaceDN w:val="0"/>
      <w:adjustRightInd w:val="0"/>
      <w:spacing w:line="241" w:lineRule="atLeast"/>
    </w:pPr>
    <w:rPr>
      <w:rFonts w:ascii="Constellation TL Pro Bold" w:hAnsi="Constellation TL Pro Bold"/>
    </w:rPr>
  </w:style>
  <w:style w:type="character" w:customStyle="1" w:styleId="A1">
    <w:name w:val="A1"/>
    <w:uiPriority w:val="99"/>
    <w:rsid w:val="009A496B"/>
    <w:rPr>
      <w:rFonts w:ascii="Helvetica Neue" w:hAnsi="Helvetica Neue" w:cs="Helvetica Neue"/>
      <w:color w:val="000000"/>
      <w:sz w:val="18"/>
      <w:szCs w:val="18"/>
    </w:rPr>
  </w:style>
  <w:style w:type="paragraph" w:customStyle="1" w:styleId="Default">
    <w:name w:val="Default"/>
    <w:rsid w:val="009A496B"/>
    <w:pPr>
      <w:autoSpaceDE w:val="0"/>
      <w:autoSpaceDN w:val="0"/>
      <w:adjustRightInd w:val="0"/>
    </w:pPr>
    <w:rPr>
      <w:rFonts w:ascii="Arial" w:eastAsia="Calibri" w:hAnsi="Arial" w:cs="Arial"/>
      <w:color w:val="000000"/>
      <w:sz w:val="24"/>
      <w:szCs w:val="24"/>
      <w:lang w:val="en-GB"/>
    </w:rPr>
  </w:style>
  <w:style w:type="paragraph" w:styleId="BalloonText">
    <w:name w:val="Balloon Text"/>
    <w:basedOn w:val="Normal"/>
    <w:link w:val="BalloonTextChar"/>
    <w:uiPriority w:val="99"/>
    <w:semiHidden/>
    <w:unhideWhenUsed/>
    <w:rsid w:val="00D810C2"/>
    <w:rPr>
      <w:rFonts w:ascii="Tahoma" w:hAnsi="Tahoma" w:cs="Tahoma"/>
      <w:sz w:val="16"/>
      <w:szCs w:val="16"/>
    </w:rPr>
  </w:style>
  <w:style w:type="character" w:customStyle="1" w:styleId="BalloonTextChar">
    <w:name w:val="Balloon Text Char"/>
    <w:link w:val="BalloonText"/>
    <w:uiPriority w:val="99"/>
    <w:semiHidden/>
    <w:rsid w:val="00D810C2"/>
    <w:rPr>
      <w:rFonts w:ascii="Tahoma" w:hAnsi="Tahoma" w:cs="Tahoma"/>
      <w:sz w:val="16"/>
      <w:szCs w:val="16"/>
    </w:rPr>
  </w:style>
  <w:style w:type="paragraph" w:styleId="NormalWeb">
    <w:name w:val="Normal (Web)"/>
    <w:basedOn w:val="Normal"/>
    <w:uiPriority w:val="99"/>
    <w:unhideWhenUsed/>
    <w:rsid w:val="001630A8"/>
    <w:pPr>
      <w:spacing w:before="100" w:beforeAutospacing="1" w:after="100" w:afterAutospacing="1"/>
    </w:pPr>
    <w:rPr>
      <w:lang w:val="en-US" w:eastAsia="en-US"/>
    </w:rPr>
  </w:style>
  <w:style w:type="paragraph" w:styleId="ListParagraph">
    <w:name w:val="List Paragraph"/>
    <w:basedOn w:val="Normal"/>
    <w:link w:val="ListParagraphChar"/>
    <w:uiPriority w:val="34"/>
    <w:qFormat/>
    <w:rsid w:val="00CA16BA"/>
    <w:pPr>
      <w:ind w:left="720"/>
      <w:contextualSpacing/>
    </w:pPr>
    <w:rPr>
      <w:rFonts w:ascii="Calibri" w:eastAsia="Calibri" w:hAnsi="Calibri"/>
      <w:lang w:val="en-US" w:eastAsia="en-US"/>
    </w:rPr>
  </w:style>
  <w:style w:type="character" w:styleId="PageNumber">
    <w:name w:val="page number"/>
    <w:basedOn w:val="DefaultParagraphFont"/>
    <w:uiPriority w:val="99"/>
    <w:semiHidden/>
    <w:unhideWhenUsed/>
    <w:rsid w:val="00BB25D8"/>
  </w:style>
  <w:style w:type="table" w:styleId="TableGrid">
    <w:name w:val="Table Grid"/>
    <w:basedOn w:val="TableNormal"/>
    <w:uiPriority w:val="59"/>
    <w:rsid w:val="002E2CDE"/>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51014"/>
    <w:rPr>
      <w:rFonts w:ascii="Calibri" w:eastAsia="Calibri" w:hAnsi="Calibri"/>
      <w:sz w:val="24"/>
      <w:szCs w:val="24"/>
    </w:rPr>
  </w:style>
  <w:style w:type="character" w:styleId="Strong">
    <w:name w:val="Strong"/>
    <w:basedOn w:val="DefaultParagraphFont"/>
    <w:uiPriority w:val="22"/>
    <w:qFormat/>
    <w:rsid w:val="00085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043">
      <w:bodyDiv w:val="1"/>
      <w:marLeft w:val="0"/>
      <w:marRight w:val="0"/>
      <w:marTop w:val="0"/>
      <w:marBottom w:val="0"/>
      <w:divBdr>
        <w:top w:val="none" w:sz="0" w:space="0" w:color="auto"/>
        <w:left w:val="none" w:sz="0" w:space="0" w:color="auto"/>
        <w:bottom w:val="none" w:sz="0" w:space="0" w:color="auto"/>
        <w:right w:val="none" w:sz="0" w:space="0" w:color="auto"/>
      </w:divBdr>
    </w:div>
    <w:div w:id="680593371">
      <w:bodyDiv w:val="1"/>
      <w:marLeft w:val="0"/>
      <w:marRight w:val="0"/>
      <w:marTop w:val="0"/>
      <w:marBottom w:val="0"/>
      <w:divBdr>
        <w:top w:val="none" w:sz="0" w:space="0" w:color="auto"/>
        <w:left w:val="none" w:sz="0" w:space="0" w:color="auto"/>
        <w:bottom w:val="none" w:sz="0" w:space="0" w:color="auto"/>
        <w:right w:val="none" w:sz="0" w:space="0" w:color="auto"/>
      </w:divBdr>
    </w:div>
    <w:div w:id="837379375">
      <w:bodyDiv w:val="1"/>
      <w:marLeft w:val="0"/>
      <w:marRight w:val="0"/>
      <w:marTop w:val="0"/>
      <w:marBottom w:val="0"/>
      <w:divBdr>
        <w:top w:val="none" w:sz="0" w:space="0" w:color="auto"/>
        <w:left w:val="none" w:sz="0" w:space="0" w:color="auto"/>
        <w:bottom w:val="none" w:sz="0" w:space="0" w:color="auto"/>
        <w:right w:val="none" w:sz="0" w:space="0" w:color="auto"/>
      </w:divBdr>
      <w:divsChild>
        <w:div w:id="1070348527">
          <w:marLeft w:val="0"/>
          <w:marRight w:val="0"/>
          <w:marTop w:val="225"/>
          <w:marBottom w:val="225"/>
          <w:divBdr>
            <w:top w:val="single" w:sz="6" w:space="0" w:color="222222"/>
            <w:left w:val="single" w:sz="6" w:space="0" w:color="222222"/>
            <w:bottom w:val="single" w:sz="6" w:space="0" w:color="222222"/>
            <w:right w:val="single" w:sz="6" w:space="15" w:color="222222"/>
          </w:divBdr>
          <w:divsChild>
            <w:div w:id="796488447">
              <w:marLeft w:val="0"/>
              <w:marRight w:val="0"/>
              <w:marTop w:val="0"/>
              <w:marBottom w:val="0"/>
              <w:divBdr>
                <w:top w:val="none" w:sz="0" w:space="0" w:color="auto"/>
                <w:left w:val="none" w:sz="0" w:space="0" w:color="auto"/>
                <w:bottom w:val="none" w:sz="0" w:space="0" w:color="auto"/>
                <w:right w:val="none" w:sz="0" w:space="0" w:color="auto"/>
              </w:divBdr>
              <w:divsChild>
                <w:div w:id="1609386574">
                  <w:marLeft w:val="0"/>
                  <w:marRight w:val="-3600"/>
                  <w:marTop w:val="0"/>
                  <w:marBottom w:val="60"/>
                  <w:divBdr>
                    <w:top w:val="none" w:sz="0" w:space="0" w:color="auto"/>
                    <w:left w:val="none" w:sz="0" w:space="0" w:color="auto"/>
                    <w:bottom w:val="none" w:sz="0" w:space="0" w:color="auto"/>
                    <w:right w:val="none" w:sz="0" w:space="0" w:color="auto"/>
                  </w:divBdr>
                  <w:divsChild>
                    <w:div w:id="2045591485">
                      <w:marLeft w:val="-300"/>
                      <w:marRight w:val="4200"/>
                      <w:marTop w:val="0"/>
                      <w:marBottom w:val="540"/>
                      <w:divBdr>
                        <w:top w:val="none" w:sz="0" w:space="0" w:color="auto"/>
                        <w:left w:val="none" w:sz="0" w:space="0" w:color="auto"/>
                        <w:bottom w:val="none" w:sz="0" w:space="0" w:color="auto"/>
                        <w:right w:val="none" w:sz="0" w:space="0" w:color="auto"/>
                      </w:divBdr>
                      <w:divsChild>
                        <w:div w:id="114905350">
                          <w:marLeft w:val="0"/>
                          <w:marRight w:val="0"/>
                          <w:marTop w:val="0"/>
                          <w:marBottom w:val="0"/>
                          <w:divBdr>
                            <w:top w:val="none" w:sz="0" w:space="0" w:color="auto"/>
                            <w:left w:val="none" w:sz="0" w:space="0" w:color="auto"/>
                            <w:bottom w:val="none" w:sz="0" w:space="0" w:color="auto"/>
                            <w:right w:val="none" w:sz="0" w:space="0" w:color="auto"/>
                          </w:divBdr>
                          <w:divsChild>
                            <w:div w:id="1731420364">
                              <w:marLeft w:val="0"/>
                              <w:marRight w:val="0"/>
                              <w:marTop w:val="0"/>
                              <w:marBottom w:val="0"/>
                              <w:divBdr>
                                <w:top w:val="none" w:sz="0" w:space="0" w:color="auto"/>
                                <w:left w:val="none" w:sz="0" w:space="0" w:color="auto"/>
                                <w:bottom w:val="none" w:sz="0" w:space="0" w:color="auto"/>
                                <w:right w:val="none" w:sz="0" w:space="0" w:color="auto"/>
                              </w:divBdr>
                              <w:divsChild>
                                <w:div w:id="16774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558404">
      <w:bodyDiv w:val="1"/>
      <w:marLeft w:val="0"/>
      <w:marRight w:val="0"/>
      <w:marTop w:val="0"/>
      <w:marBottom w:val="0"/>
      <w:divBdr>
        <w:top w:val="none" w:sz="0" w:space="0" w:color="auto"/>
        <w:left w:val="none" w:sz="0" w:space="0" w:color="auto"/>
        <w:bottom w:val="none" w:sz="0" w:space="0" w:color="auto"/>
        <w:right w:val="none" w:sz="0" w:space="0" w:color="auto"/>
      </w:divBdr>
      <w:divsChild>
        <w:div w:id="1849907735">
          <w:marLeft w:val="0"/>
          <w:marRight w:val="0"/>
          <w:marTop w:val="0"/>
          <w:marBottom w:val="0"/>
          <w:divBdr>
            <w:top w:val="none" w:sz="0" w:space="0" w:color="auto"/>
            <w:left w:val="none" w:sz="0" w:space="0" w:color="auto"/>
            <w:bottom w:val="none" w:sz="0" w:space="0" w:color="auto"/>
            <w:right w:val="none" w:sz="0" w:space="0" w:color="auto"/>
          </w:divBdr>
          <w:divsChild>
            <w:div w:id="1473520625">
              <w:marLeft w:val="0"/>
              <w:marRight w:val="0"/>
              <w:marTop w:val="0"/>
              <w:marBottom w:val="0"/>
              <w:divBdr>
                <w:top w:val="none" w:sz="0" w:space="0" w:color="auto"/>
                <w:left w:val="none" w:sz="0" w:space="0" w:color="auto"/>
                <w:bottom w:val="none" w:sz="0" w:space="0" w:color="auto"/>
                <w:right w:val="none" w:sz="0" w:space="0" w:color="auto"/>
              </w:divBdr>
              <w:divsChild>
                <w:div w:id="908416679">
                  <w:marLeft w:val="0"/>
                  <w:marRight w:val="0"/>
                  <w:marTop w:val="0"/>
                  <w:marBottom w:val="0"/>
                  <w:divBdr>
                    <w:top w:val="none" w:sz="0" w:space="0" w:color="auto"/>
                    <w:left w:val="none" w:sz="0" w:space="0" w:color="auto"/>
                    <w:bottom w:val="none" w:sz="0" w:space="0" w:color="auto"/>
                    <w:right w:val="none" w:sz="0" w:space="0" w:color="auto"/>
                  </w:divBdr>
                </w:div>
              </w:divsChild>
            </w:div>
            <w:div w:id="1198005256">
              <w:marLeft w:val="0"/>
              <w:marRight w:val="0"/>
              <w:marTop w:val="0"/>
              <w:marBottom w:val="0"/>
              <w:divBdr>
                <w:top w:val="none" w:sz="0" w:space="0" w:color="auto"/>
                <w:left w:val="none" w:sz="0" w:space="0" w:color="auto"/>
                <w:bottom w:val="none" w:sz="0" w:space="0" w:color="auto"/>
                <w:right w:val="none" w:sz="0" w:space="0" w:color="auto"/>
              </w:divBdr>
              <w:divsChild>
                <w:div w:id="19748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1127">
          <w:marLeft w:val="0"/>
          <w:marRight w:val="0"/>
          <w:marTop w:val="0"/>
          <w:marBottom w:val="0"/>
          <w:divBdr>
            <w:top w:val="none" w:sz="0" w:space="0" w:color="auto"/>
            <w:left w:val="none" w:sz="0" w:space="0" w:color="auto"/>
            <w:bottom w:val="none" w:sz="0" w:space="0" w:color="auto"/>
            <w:right w:val="none" w:sz="0" w:space="0" w:color="auto"/>
          </w:divBdr>
          <w:divsChild>
            <w:div w:id="848519249">
              <w:marLeft w:val="0"/>
              <w:marRight w:val="0"/>
              <w:marTop w:val="0"/>
              <w:marBottom w:val="0"/>
              <w:divBdr>
                <w:top w:val="none" w:sz="0" w:space="0" w:color="auto"/>
                <w:left w:val="none" w:sz="0" w:space="0" w:color="auto"/>
                <w:bottom w:val="none" w:sz="0" w:space="0" w:color="auto"/>
                <w:right w:val="none" w:sz="0" w:space="0" w:color="auto"/>
              </w:divBdr>
              <w:divsChild>
                <w:div w:id="13352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30712">
      <w:bodyDiv w:val="1"/>
      <w:marLeft w:val="0"/>
      <w:marRight w:val="0"/>
      <w:marTop w:val="0"/>
      <w:marBottom w:val="0"/>
      <w:divBdr>
        <w:top w:val="none" w:sz="0" w:space="0" w:color="auto"/>
        <w:left w:val="none" w:sz="0" w:space="0" w:color="auto"/>
        <w:bottom w:val="none" w:sz="0" w:space="0" w:color="auto"/>
        <w:right w:val="none" w:sz="0" w:space="0" w:color="auto"/>
      </w:divBdr>
    </w:div>
    <w:div w:id="1084768113">
      <w:bodyDiv w:val="1"/>
      <w:marLeft w:val="0"/>
      <w:marRight w:val="0"/>
      <w:marTop w:val="0"/>
      <w:marBottom w:val="0"/>
      <w:divBdr>
        <w:top w:val="none" w:sz="0" w:space="0" w:color="auto"/>
        <w:left w:val="none" w:sz="0" w:space="0" w:color="auto"/>
        <w:bottom w:val="none" w:sz="0" w:space="0" w:color="auto"/>
        <w:right w:val="none" w:sz="0" w:space="0" w:color="auto"/>
      </w:divBdr>
      <w:divsChild>
        <w:div w:id="741412166">
          <w:marLeft w:val="0"/>
          <w:marRight w:val="0"/>
          <w:marTop w:val="0"/>
          <w:marBottom w:val="0"/>
          <w:divBdr>
            <w:top w:val="none" w:sz="0" w:space="0" w:color="auto"/>
            <w:left w:val="none" w:sz="0" w:space="0" w:color="auto"/>
            <w:bottom w:val="none" w:sz="0" w:space="0" w:color="auto"/>
            <w:right w:val="none" w:sz="0" w:space="0" w:color="auto"/>
          </w:divBdr>
          <w:divsChild>
            <w:div w:id="869295773">
              <w:marLeft w:val="0"/>
              <w:marRight w:val="0"/>
              <w:marTop w:val="0"/>
              <w:marBottom w:val="0"/>
              <w:divBdr>
                <w:top w:val="none" w:sz="0" w:space="0" w:color="auto"/>
                <w:left w:val="none" w:sz="0" w:space="0" w:color="auto"/>
                <w:bottom w:val="none" w:sz="0" w:space="0" w:color="auto"/>
                <w:right w:val="none" w:sz="0" w:space="0" w:color="auto"/>
              </w:divBdr>
              <w:divsChild>
                <w:div w:id="10024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3735">
      <w:bodyDiv w:val="1"/>
      <w:marLeft w:val="0"/>
      <w:marRight w:val="0"/>
      <w:marTop w:val="0"/>
      <w:marBottom w:val="0"/>
      <w:divBdr>
        <w:top w:val="none" w:sz="0" w:space="0" w:color="auto"/>
        <w:left w:val="none" w:sz="0" w:space="0" w:color="auto"/>
        <w:bottom w:val="none" w:sz="0" w:space="0" w:color="auto"/>
        <w:right w:val="none" w:sz="0" w:space="0" w:color="auto"/>
      </w:divBdr>
      <w:divsChild>
        <w:div w:id="656147873">
          <w:marLeft w:val="0"/>
          <w:marRight w:val="0"/>
          <w:marTop w:val="0"/>
          <w:marBottom w:val="0"/>
          <w:divBdr>
            <w:top w:val="none" w:sz="0" w:space="0" w:color="auto"/>
            <w:left w:val="none" w:sz="0" w:space="0" w:color="auto"/>
            <w:bottom w:val="none" w:sz="0" w:space="0" w:color="auto"/>
            <w:right w:val="none" w:sz="0" w:space="0" w:color="auto"/>
          </w:divBdr>
          <w:divsChild>
            <w:div w:id="847913410">
              <w:marLeft w:val="0"/>
              <w:marRight w:val="0"/>
              <w:marTop w:val="0"/>
              <w:marBottom w:val="0"/>
              <w:divBdr>
                <w:top w:val="none" w:sz="0" w:space="0" w:color="auto"/>
                <w:left w:val="none" w:sz="0" w:space="0" w:color="auto"/>
                <w:bottom w:val="none" w:sz="0" w:space="0" w:color="auto"/>
                <w:right w:val="none" w:sz="0" w:space="0" w:color="auto"/>
              </w:divBdr>
              <w:divsChild>
                <w:div w:id="1813980871">
                  <w:marLeft w:val="0"/>
                  <w:marRight w:val="0"/>
                  <w:marTop w:val="0"/>
                  <w:marBottom w:val="0"/>
                  <w:divBdr>
                    <w:top w:val="none" w:sz="0" w:space="0" w:color="auto"/>
                    <w:left w:val="none" w:sz="0" w:space="0" w:color="auto"/>
                    <w:bottom w:val="none" w:sz="0" w:space="0" w:color="auto"/>
                    <w:right w:val="none" w:sz="0" w:space="0" w:color="auto"/>
                  </w:divBdr>
                </w:div>
              </w:divsChild>
            </w:div>
            <w:div w:id="1215001371">
              <w:marLeft w:val="0"/>
              <w:marRight w:val="0"/>
              <w:marTop w:val="0"/>
              <w:marBottom w:val="0"/>
              <w:divBdr>
                <w:top w:val="none" w:sz="0" w:space="0" w:color="auto"/>
                <w:left w:val="none" w:sz="0" w:space="0" w:color="auto"/>
                <w:bottom w:val="none" w:sz="0" w:space="0" w:color="auto"/>
                <w:right w:val="none" w:sz="0" w:space="0" w:color="auto"/>
              </w:divBdr>
              <w:divsChild>
                <w:div w:id="6257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0689">
          <w:marLeft w:val="0"/>
          <w:marRight w:val="0"/>
          <w:marTop w:val="0"/>
          <w:marBottom w:val="0"/>
          <w:divBdr>
            <w:top w:val="none" w:sz="0" w:space="0" w:color="auto"/>
            <w:left w:val="none" w:sz="0" w:space="0" w:color="auto"/>
            <w:bottom w:val="none" w:sz="0" w:space="0" w:color="auto"/>
            <w:right w:val="none" w:sz="0" w:space="0" w:color="auto"/>
          </w:divBdr>
          <w:divsChild>
            <w:div w:id="433332537">
              <w:marLeft w:val="0"/>
              <w:marRight w:val="0"/>
              <w:marTop w:val="0"/>
              <w:marBottom w:val="0"/>
              <w:divBdr>
                <w:top w:val="none" w:sz="0" w:space="0" w:color="auto"/>
                <w:left w:val="none" w:sz="0" w:space="0" w:color="auto"/>
                <w:bottom w:val="none" w:sz="0" w:space="0" w:color="auto"/>
                <w:right w:val="none" w:sz="0" w:space="0" w:color="auto"/>
              </w:divBdr>
              <w:divsChild>
                <w:div w:id="1118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5986">
      <w:bodyDiv w:val="1"/>
      <w:marLeft w:val="0"/>
      <w:marRight w:val="0"/>
      <w:marTop w:val="0"/>
      <w:marBottom w:val="0"/>
      <w:divBdr>
        <w:top w:val="none" w:sz="0" w:space="0" w:color="auto"/>
        <w:left w:val="none" w:sz="0" w:space="0" w:color="auto"/>
        <w:bottom w:val="none" w:sz="0" w:space="0" w:color="auto"/>
        <w:right w:val="none" w:sz="0" w:space="0" w:color="auto"/>
      </w:divBdr>
      <w:divsChild>
        <w:div w:id="395057555">
          <w:marLeft w:val="0"/>
          <w:marRight w:val="0"/>
          <w:marTop w:val="0"/>
          <w:marBottom w:val="0"/>
          <w:divBdr>
            <w:top w:val="none" w:sz="0" w:space="0" w:color="auto"/>
            <w:left w:val="none" w:sz="0" w:space="0" w:color="auto"/>
            <w:bottom w:val="none" w:sz="0" w:space="0" w:color="auto"/>
            <w:right w:val="none" w:sz="0" w:space="0" w:color="auto"/>
          </w:divBdr>
          <w:divsChild>
            <w:div w:id="1256405694">
              <w:marLeft w:val="0"/>
              <w:marRight w:val="0"/>
              <w:marTop w:val="0"/>
              <w:marBottom w:val="0"/>
              <w:divBdr>
                <w:top w:val="none" w:sz="0" w:space="0" w:color="auto"/>
                <w:left w:val="none" w:sz="0" w:space="0" w:color="auto"/>
                <w:bottom w:val="none" w:sz="0" w:space="0" w:color="auto"/>
                <w:right w:val="none" w:sz="0" w:space="0" w:color="auto"/>
              </w:divBdr>
              <w:divsChild>
                <w:div w:id="1928273560">
                  <w:marLeft w:val="0"/>
                  <w:marRight w:val="0"/>
                  <w:marTop w:val="0"/>
                  <w:marBottom w:val="0"/>
                  <w:divBdr>
                    <w:top w:val="none" w:sz="0" w:space="0" w:color="auto"/>
                    <w:left w:val="none" w:sz="0" w:space="0" w:color="auto"/>
                    <w:bottom w:val="none" w:sz="0" w:space="0" w:color="auto"/>
                    <w:right w:val="none" w:sz="0" w:space="0" w:color="auto"/>
                  </w:divBdr>
                </w:div>
              </w:divsChild>
            </w:div>
            <w:div w:id="1814447836">
              <w:marLeft w:val="0"/>
              <w:marRight w:val="0"/>
              <w:marTop w:val="0"/>
              <w:marBottom w:val="0"/>
              <w:divBdr>
                <w:top w:val="none" w:sz="0" w:space="0" w:color="auto"/>
                <w:left w:val="none" w:sz="0" w:space="0" w:color="auto"/>
                <w:bottom w:val="none" w:sz="0" w:space="0" w:color="auto"/>
                <w:right w:val="none" w:sz="0" w:space="0" w:color="auto"/>
              </w:divBdr>
              <w:divsChild>
                <w:div w:id="1401947850">
                  <w:marLeft w:val="0"/>
                  <w:marRight w:val="0"/>
                  <w:marTop w:val="0"/>
                  <w:marBottom w:val="0"/>
                  <w:divBdr>
                    <w:top w:val="none" w:sz="0" w:space="0" w:color="auto"/>
                    <w:left w:val="none" w:sz="0" w:space="0" w:color="auto"/>
                    <w:bottom w:val="none" w:sz="0" w:space="0" w:color="auto"/>
                    <w:right w:val="none" w:sz="0" w:space="0" w:color="auto"/>
                  </w:divBdr>
                </w:div>
              </w:divsChild>
            </w:div>
            <w:div w:id="1906640632">
              <w:marLeft w:val="0"/>
              <w:marRight w:val="0"/>
              <w:marTop w:val="0"/>
              <w:marBottom w:val="0"/>
              <w:divBdr>
                <w:top w:val="none" w:sz="0" w:space="0" w:color="auto"/>
                <w:left w:val="none" w:sz="0" w:space="0" w:color="auto"/>
                <w:bottom w:val="none" w:sz="0" w:space="0" w:color="auto"/>
                <w:right w:val="none" w:sz="0" w:space="0" w:color="auto"/>
              </w:divBdr>
              <w:divsChild>
                <w:div w:id="17303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6147">
          <w:marLeft w:val="0"/>
          <w:marRight w:val="0"/>
          <w:marTop w:val="0"/>
          <w:marBottom w:val="0"/>
          <w:divBdr>
            <w:top w:val="none" w:sz="0" w:space="0" w:color="auto"/>
            <w:left w:val="none" w:sz="0" w:space="0" w:color="auto"/>
            <w:bottom w:val="none" w:sz="0" w:space="0" w:color="auto"/>
            <w:right w:val="none" w:sz="0" w:space="0" w:color="auto"/>
          </w:divBdr>
          <w:divsChild>
            <w:div w:id="1478187236">
              <w:marLeft w:val="0"/>
              <w:marRight w:val="0"/>
              <w:marTop w:val="0"/>
              <w:marBottom w:val="0"/>
              <w:divBdr>
                <w:top w:val="none" w:sz="0" w:space="0" w:color="auto"/>
                <w:left w:val="none" w:sz="0" w:space="0" w:color="auto"/>
                <w:bottom w:val="none" w:sz="0" w:space="0" w:color="auto"/>
                <w:right w:val="none" w:sz="0" w:space="0" w:color="auto"/>
              </w:divBdr>
              <w:divsChild>
                <w:div w:id="6149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380739e7-1a6c-4836-b7f1-13217709e7bc" xsi:nil="true"/>
    <MigrationWizId xmlns="380739e7-1a6c-4836-b7f1-13217709e7bc" xsi:nil="true"/>
    <MigrationWizIdPermissions xmlns="380739e7-1a6c-4836-b7f1-13217709e7bc" xsi:nil="true"/>
    <MigrationWizIdPermissionLevels xmlns="380739e7-1a6c-4836-b7f1-13217709e7bc" xsi:nil="true"/>
    <MigrationWizIdSecurityGroups xmlns="380739e7-1a6c-4836-b7f1-13217709e7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4FB468CFBD1345BDF627FDB8D51EF8" ma:contentTypeVersion="18" ma:contentTypeDescription="Create a new document." ma:contentTypeScope="" ma:versionID="6e0dc97c7194c065c6c95f8f2e865e8f">
  <xsd:schema xmlns:xsd="http://www.w3.org/2001/XMLSchema" xmlns:xs="http://www.w3.org/2001/XMLSchema" xmlns:p="http://schemas.microsoft.com/office/2006/metadata/properties" xmlns:ns3="380739e7-1a6c-4836-b7f1-13217709e7bc" xmlns:ns4="f5f5d5a7-4e3e-482b-9a96-c74553b74c1b" targetNamespace="http://schemas.microsoft.com/office/2006/metadata/properties" ma:root="true" ma:fieldsID="efe987f85ceb173e14bea826f404b7d1" ns3:_="" ns4:_="">
    <xsd:import namespace="380739e7-1a6c-4836-b7f1-13217709e7bc"/>
    <xsd:import namespace="f5f5d5a7-4e3e-482b-9a96-c74553b74c1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739e7-1a6c-4836-b7f1-13217709e7b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5d5a7-4e3e-482b-9a96-c74553b74c1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6BB1-42C3-456B-AF59-7C06694962F1}">
  <ds:schemaRefs>
    <ds:schemaRef ds:uri="http://schemas.microsoft.com/sharepoint/v3/contenttype/forms"/>
  </ds:schemaRefs>
</ds:datastoreItem>
</file>

<file path=customXml/itemProps2.xml><?xml version="1.0" encoding="utf-8"?>
<ds:datastoreItem xmlns:ds="http://schemas.openxmlformats.org/officeDocument/2006/customXml" ds:itemID="{AD4DFEF1-0602-4F9C-8AB6-C61BDF8DDABA}">
  <ds:schemaRefs>
    <ds:schemaRef ds:uri="http://schemas.microsoft.com/office/2006/metadata/properties"/>
    <ds:schemaRef ds:uri="http://schemas.microsoft.com/office/infopath/2007/PartnerControls"/>
    <ds:schemaRef ds:uri="380739e7-1a6c-4836-b7f1-13217709e7bc"/>
  </ds:schemaRefs>
</ds:datastoreItem>
</file>

<file path=customXml/itemProps3.xml><?xml version="1.0" encoding="utf-8"?>
<ds:datastoreItem xmlns:ds="http://schemas.openxmlformats.org/officeDocument/2006/customXml" ds:itemID="{EDB35074-0178-46B6-8433-A3BEF86B5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739e7-1a6c-4836-b7f1-13217709e7bc"/>
    <ds:schemaRef ds:uri="f5f5d5a7-4e3e-482b-9a96-c74553b74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54CB7-24E8-4EA9-9D15-7C21A6623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 title</vt:lpstr>
    </vt:vector>
  </TitlesOfParts>
  <Company>Blackburn College</Company>
  <LinksUpToDate>false</LinksUpToDate>
  <CharactersWithSpaces>18188</CharactersWithSpaces>
  <SharedDoc>false</SharedDoc>
  <HLinks>
    <vt:vector size="12" baseType="variant">
      <vt:variant>
        <vt:i4>8323188</vt:i4>
      </vt:variant>
      <vt:variant>
        <vt:i4>-1</vt:i4>
      </vt:variant>
      <vt:variant>
        <vt:i4>1026</vt:i4>
      </vt:variant>
      <vt:variant>
        <vt:i4>4</vt:i4>
      </vt:variant>
      <vt:variant>
        <vt:lpwstr>http://moodle.nelson.ac.uk/wordpress/wp-content/uploads/2010/07/logo_grey_10.jpg</vt:lpwstr>
      </vt:variant>
      <vt:variant>
        <vt:lpwstr/>
      </vt:variant>
      <vt:variant>
        <vt:i4>8323188</vt:i4>
      </vt:variant>
      <vt:variant>
        <vt:i4>-1</vt:i4>
      </vt:variant>
      <vt:variant>
        <vt:i4>1026</vt:i4>
      </vt:variant>
      <vt:variant>
        <vt:i4>1</vt:i4>
      </vt:variant>
      <vt:variant>
        <vt:lpwstr>http://moodle.nelson.ac.uk/wordpress/wp-content/uploads/2010/07/logo_grey_10.jpg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title</dc:title>
  <dc:creator>COOC02</dc:creator>
  <cp:lastModifiedBy>Samantha Mercer</cp:lastModifiedBy>
  <cp:revision>7</cp:revision>
  <cp:lastPrinted>2017-03-01T17:52:00Z</cp:lastPrinted>
  <dcterms:created xsi:type="dcterms:W3CDTF">2022-07-03T14:21:00Z</dcterms:created>
  <dcterms:modified xsi:type="dcterms:W3CDTF">2022-07-15T13:46:00Z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091e3-0b87-488c-a9d6-96faccd810bb_Enabled">
    <vt:lpwstr>True</vt:lpwstr>
  </property>
  <property fmtid="{D5CDD505-2E9C-101B-9397-08002B2CF9AE}" pid="3" name="MSIP_Label_910091e3-0b87-488c-a9d6-96faccd810bb_SiteId">
    <vt:lpwstr>6ad6610a-a781-4447-a423-62cb0847f1ea</vt:lpwstr>
  </property>
  <property fmtid="{D5CDD505-2E9C-101B-9397-08002B2CF9AE}" pid="4" name="MSIP_Label_910091e3-0b87-488c-a9d6-96faccd810bb_Owner">
    <vt:lpwstr>mercers@Nelson.ac.uk</vt:lpwstr>
  </property>
  <property fmtid="{D5CDD505-2E9C-101B-9397-08002B2CF9AE}" pid="5" name="MSIP_Label_910091e3-0b87-488c-a9d6-96faccd810bb_SetDate">
    <vt:lpwstr>2018-12-03T09:54:58.3219664Z</vt:lpwstr>
  </property>
  <property fmtid="{D5CDD505-2E9C-101B-9397-08002B2CF9AE}" pid="6" name="MSIP_Label_910091e3-0b87-488c-a9d6-96faccd810bb_Name">
    <vt:lpwstr>General</vt:lpwstr>
  </property>
  <property fmtid="{D5CDD505-2E9C-101B-9397-08002B2CF9AE}" pid="7" name="MSIP_Label_910091e3-0b87-488c-a9d6-96faccd810bb_Application">
    <vt:lpwstr>Microsoft Azure Information Protection</vt:lpwstr>
  </property>
  <property fmtid="{D5CDD505-2E9C-101B-9397-08002B2CF9AE}" pid="8" name="MSIP_Label_910091e3-0b87-488c-a9d6-96faccd810bb_Extended_MSFT_Method">
    <vt:lpwstr>Automatic</vt:lpwstr>
  </property>
  <property fmtid="{D5CDD505-2E9C-101B-9397-08002B2CF9AE}" pid="9" name="Sensitivity">
    <vt:lpwstr>General</vt:lpwstr>
  </property>
  <property fmtid="{D5CDD505-2E9C-101B-9397-08002B2CF9AE}" pid="10" name="ContentTypeId">
    <vt:lpwstr>0x0101004B4FB468CFBD1345BDF627FDB8D51EF8</vt:lpwstr>
  </property>
</Properties>
</file>